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rFonts w:ascii="Times New Roman" w:hAnsi="Times New Roman" w:eastAsia="黑体" w:cs="Times New Roman"/>
          <w:color w:val="000000"/>
          <w:sz w:val="32"/>
          <w:szCs w:val="32"/>
        </w:rPr>
      </w:pPr>
      <w:r>
        <w:rPr>
          <w:rFonts w:hint="eastAsia" w:ascii="Times New Roman" w:hAnsi="Times New Roman" w:eastAsia="黑体" w:cs="Times New Roman"/>
          <w:color w:val="000000"/>
          <w:sz w:val="32"/>
          <w:szCs w:val="32"/>
        </w:rPr>
        <w:t>附件2</w:t>
      </w:r>
    </w:p>
    <w:p>
      <w:pPr>
        <w:adjustRightInd w:val="0"/>
        <w:snapToGrid w:val="0"/>
        <w:jc w:val="center"/>
        <w:rPr>
          <w:rFonts w:ascii="Times New Roman" w:hAnsi="Times New Roman" w:eastAsia="方正小标宋简体" w:cs="Times New Roman"/>
          <w:color w:val="000000"/>
          <w:sz w:val="44"/>
          <w:szCs w:val="44"/>
        </w:rPr>
      </w:pPr>
    </w:p>
    <w:p>
      <w:pPr>
        <w:adjustRightInd w:val="0"/>
        <w:snapToGrid w:val="0"/>
        <w:jc w:val="center"/>
        <w:rPr>
          <w:rFonts w:ascii="Times New Roman" w:hAnsi="Times New Roman" w:eastAsia="方正小标宋简体" w:cs="Times New Roman"/>
          <w:sz w:val="44"/>
          <w:szCs w:val="44"/>
        </w:rPr>
      </w:pPr>
      <w:r>
        <w:rPr>
          <w:rFonts w:hint="eastAsia" w:ascii="Times New Roman" w:hAnsi="Times New Roman" w:eastAsia="方正小标宋简体" w:cs="Times New Roman"/>
          <w:sz w:val="44"/>
          <w:szCs w:val="44"/>
        </w:rPr>
        <w:t>关于</w:t>
      </w:r>
      <w:r>
        <w:rPr>
          <w:rFonts w:ascii="Times New Roman" w:hAnsi="Times New Roman" w:eastAsia="方正小标宋简体" w:cs="Times New Roman"/>
          <w:sz w:val="44"/>
          <w:szCs w:val="44"/>
        </w:rPr>
        <w:t>广州市黄埔区（中新广州知识城）</w:t>
      </w:r>
      <w:r>
        <w:rPr>
          <w:rFonts w:hint="eastAsia" w:ascii="Times New Roman" w:hAnsi="Times New Roman" w:eastAsia="方正小标宋简体" w:cs="Times New Roman"/>
          <w:sz w:val="44"/>
          <w:szCs w:val="44"/>
        </w:rPr>
        <w:t>2023   年度第</w:t>
      </w:r>
      <w:r>
        <w:rPr>
          <w:rFonts w:hint="eastAsia" w:ascii="Times New Roman" w:hAnsi="Times New Roman" w:eastAsia="方正小标宋简体" w:cs="Times New Roman"/>
          <w:sz w:val="44"/>
          <w:szCs w:val="44"/>
          <w:lang w:val="en-US" w:eastAsia="zh-CN"/>
        </w:rPr>
        <w:t>二十九</w:t>
      </w:r>
      <w:r>
        <w:rPr>
          <w:rFonts w:hint="eastAsia" w:ascii="Times New Roman" w:hAnsi="Times New Roman" w:eastAsia="方正小标宋简体" w:cs="Times New Roman"/>
          <w:sz w:val="44"/>
          <w:szCs w:val="44"/>
        </w:rPr>
        <w:t>批次</w:t>
      </w:r>
      <w:r>
        <w:rPr>
          <w:rFonts w:ascii="Times New Roman" w:hAnsi="Times New Roman" w:eastAsia="方正小标宋简体" w:cs="Times New Roman"/>
          <w:sz w:val="44"/>
          <w:szCs w:val="44"/>
        </w:rPr>
        <w:t>城镇建设用地</w:t>
      </w:r>
      <w:r>
        <w:rPr>
          <w:rFonts w:hint="eastAsia" w:ascii="Times New Roman" w:hAnsi="Times New Roman" w:eastAsia="方正小标宋简体" w:cs="Times New Roman"/>
          <w:sz w:val="44"/>
          <w:szCs w:val="44"/>
        </w:rPr>
        <w:t>项目</w:t>
      </w:r>
      <w:r>
        <w:rPr>
          <w:rFonts w:ascii="Times New Roman" w:hAnsi="Times New Roman" w:eastAsia="方正小标宋简体" w:cs="Times New Roman"/>
          <w:sz w:val="44"/>
          <w:szCs w:val="44"/>
        </w:rPr>
        <w:t>被征地</w:t>
      </w:r>
      <w:r>
        <w:rPr>
          <w:rFonts w:hint="eastAsia" w:ascii="Times New Roman" w:hAnsi="Times New Roman" w:eastAsia="方正小标宋简体" w:cs="Times New Roman"/>
          <w:sz w:val="44"/>
          <w:szCs w:val="44"/>
        </w:rPr>
        <w:t xml:space="preserve">     </w:t>
      </w:r>
      <w:r>
        <w:rPr>
          <w:rFonts w:ascii="Times New Roman" w:hAnsi="Times New Roman" w:eastAsia="方正小标宋简体" w:cs="Times New Roman"/>
          <w:sz w:val="44"/>
          <w:szCs w:val="44"/>
        </w:rPr>
        <w:t>农民养老保障方案</w:t>
      </w:r>
      <w:r>
        <w:rPr>
          <w:rFonts w:hint="eastAsia" w:ascii="Times New Roman" w:hAnsi="Times New Roman" w:eastAsia="方正小标宋简体" w:cs="Times New Roman"/>
          <w:sz w:val="44"/>
          <w:szCs w:val="44"/>
        </w:rPr>
        <w:t>(</w:t>
      </w:r>
      <w:r>
        <w:rPr>
          <w:rFonts w:hint="eastAsia" w:ascii="Times New Roman" w:hAnsi="Times New Roman" w:eastAsia="方正小标宋简体" w:cs="Times New Roman"/>
          <w:sz w:val="44"/>
          <w:szCs w:val="44"/>
          <w:lang w:eastAsia="zh-CN"/>
        </w:rPr>
        <w:t>55.1295亩</w:t>
      </w:r>
      <w:r>
        <w:rPr>
          <w:rFonts w:hint="eastAsia" w:ascii="Times New Roman" w:hAnsi="Times New Roman" w:eastAsia="方正小标宋简体" w:cs="Times New Roman"/>
          <w:sz w:val="44"/>
          <w:szCs w:val="44"/>
        </w:rPr>
        <w:t>)</w:t>
      </w:r>
    </w:p>
    <w:p>
      <w:pPr>
        <w:rPr>
          <w:rFonts w:ascii="Times New Roman" w:hAnsi="Times New Roman" w:eastAsia="仿宋_GB2312" w:cs="Times New Roman"/>
          <w:kern w:val="0"/>
          <w:szCs w:val="32"/>
        </w:rPr>
      </w:pPr>
    </w:p>
    <w:p>
      <w:pPr>
        <w:ind w:firstLine="640" w:firstLineChars="200"/>
        <w:jc w:val="left"/>
        <w:rPr>
          <w:rFonts w:ascii="Times New Roman" w:hAnsi="Times New Roman" w:eastAsia="仿宋_GB2312" w:cs="Times New Roman"/>
          <w:sz w:val="32"/>
          <w:szCs w:val="32"/>
          <w:u w:val="single"/>
        </w:rPr>
      </w:pPr>
      <w:r>
        <w:rPr>
          <w:rFonts w:hint="eastAsia" w:ascii="仿宋_GB2312" w:hAnsi="Times New Roman" w:eastAsia="仿宋_GB2312" w:cs="Times New Roman"/>
          <w:color w:val="000000"/>
          <w:kern w:val="0"/>
          <w:sz w:val="32"/>
          <w:szCs w:val="32"/>
          <w:shd w:val="clear" w:color="auto" w:fill="FFFFFF"/>
          <w:lang w:bidi="ar"/>
        </w:rPr>
        <w:t>依照</w:t>
      </w:r>
      <w:r>
        <w:rPr>
          <w:rFonts w:hint="eastAsia" w:ascii="仿宋_GB2312" w:hAnsi="Times New Roman" w:eastAsia="仿宋_GB2312" w:cs="Times New Roman"/>
          <w:sz w:val="32"/>
          <w:szCs w:val="32"/>
        </w:rPr>
        <w:t>《中华人民共和国土地管理法》、</w:t>
      </w:r>
      <w:r>
        <w:rPr>
          <w:rFonts w:hint="eastAsia" w:ascii="仿宋_GB2312" w:hAnsi="Times New Roman" w:eastAsia="仿宋_GB2312" w:cs="Times New Roman"/>
          <w:kern w:val="0"/>
          <w:sz w:val="32"/>
          <w:szCs w:val="32"/>
          <w:shd w:val="clear" w:color="auto" w:fill="FFFFFF"/>
          <w:lang w:bidi="ar"/>
        </w:rPr>
        <w:t>《关于切实做好被征地农民社会保障工作有关问题的通知》</w:t>
      </w:r>
      <w:r>
        <w:rPr>
          <w:rFonts w:ascii="Times New Roman" w:hAnsi="Times New Roman" w:eastAsia="仿宋_GB2312" w:cs="Times New Roman"/>
          <w:kern w:val="0"/>
          <w:sz w:val="32"/>
          <w:szCs w:val="32"/>
          <w:shd w:val="clear" w:color="auto" w:fill="FFFFFF"/>
          <w:lang w:bidi="ar"/>
        </w:rPr>
        <w:t>（</w:t>
      </w:r>
      <w:r>
        <w:rPr>
          <w:rFonts w:ascii="Times New Roman" w:hAnsi="Times New Roman" w:eastAsia="仿宋_GB2312" w:cs="Times New Roman"/>
          <w:color w:val="000000"/>
          <w:kern w:val="0"/>
          <w:sz w:val="32"/>
          <w:szCs w:val="32"/>
          <w:shd w:val="clear" w:color="auto" w:fill="FFFFFF"/>
          <w:lang w:bidi="ar"/>
        </w:rPr>
        <w:t>劳社部发〔2007〕14号，下称劳社部发〔2007〕14号）</w:t>
      </w:r>
      <w:r>
        <w:rPr>
          <w:rFonts w:hint="eastAsia" w:ascii="Times New Roman" w:hAnsi="Times New Roman" w:eastAsia="仿宋_GB2312" w:cs="Times New Roman"/>
          <w:color w:val="000000"/>
          <w:kern w:val="0"/>
          <w:sz w:val="32"/>
          <w:szCs w:val="32"/>
          <w:shd w:val="clear" w:color="auto" w:fill="FFFFFF"/>
          <w:lang w:bidi="ar"/>
        </w:rPr>
        <w:t>、</w:t>
      </w:r>
      <w:r>
        <w:rPr>
          <w:rFonts w:ascii="Times New Roman" w:hAnsi="Times New Roman" w:eastAsia="仿宋_GB2312" w:cs="Times New Roman"/>
          <w:color w:val="000000"/>
          <w:kern w:val="0"/>
          <w:sz w:val="32"/>
          <w:szCs w:val="32"/>
          <w:shd w:val="clear" w:color="auto" w:fill="FFFFFF"/>
          <w:lang w:bidi="ar"/>
        </w:rPr>
        <w:t>《广东省人民政府办公厅转发省人力资源社会保障厅关于进一步完善我省被征地农民养老保障工作意见的通知》（粤府办〔2021〕22号）</w:t>
      </w:r>
      <w:r>
        <w:rPr>
          <w:rFonts w:hint="eastAsia" w:ascii="Times New Roman" w:hAnsi="Times New Roman" w:eastAsia="仿宋_GB2312" w:cs="Times New Roman"/>
          <w:color w:val="000000"/>
          <w:kern w:val="0"/>
          <w:sz w:val="32"/>
          <w:szCs w:val="32"/>
          <w:shd w:val="clear" w:color="auto" w:fill="FFFFFF"/>
          <w:lang w:bidi="ar"/>
        </w:rPr>
        <w:t>第八条、《广州市人民政府办公厅关于印发广州市城乡居民养老保险实施办法的通知》</w:t>
      </w:r>
      <w:r>
        <w:rPr>
          <w:rFonts w:ascii="Times New Roman" w:hAnsi="Times New Roman" w:eastAsia="仿宋_GB2312" w:cs="Times New Roman"/>
          <w:color w:val="000000"/>
          <w:kern w:val="0"/>
          <w:sz w:val="32"/>
          <w:szCs w:val="32"/>
          <w:shd w:val="clear" w:color="auto" w:fill="FFFFFF"/>
          <w:lang w:bidi="ar"/>
        </w:rPr>
        <w:t>（</w:t>
      </w:r>
      <w:r>
        <w:rPr>
          <w:rFonts w:hint="eastAsia" w:ascii="Times New Roman" w:hAnsi="Times New Roman" w:eastAsia="仿宋_GB2312" w:cs="Times New Roman"/>
          <w:color w:val="000000"/>
          <w:kern w:val="0"/>
          <w:sz w:val="32"/>
          <w:szCs w:val="32"/>
          <w:shd w:val="clear" w:color="auto" w:fill="FFFFFF"/>
          <w:lang w:bidi="ar"/>
        </w:rPr>
        <w:t>穗</w:t>
      </w:r>
      <w:r>
        <w:rPr>
          <w:rFonts w:ascii="Times New Roman" w:hAnsi="Times New Roman" w:eastAsia="仿宋_GB2312" w:cs="Times New Roman"/>
          <w:color w:val="000000"/>
          <w:kern w:val="0"/>
          <w:sz w:val="32"/>
          <w:szCs w:val="32"/>
          <w:shd w:val="clear" w:color="auto" w:fill="FFFFFF"/>
          <w:lang w:bidi="ar"/>
        </w:rPr>
        <w:t>府办</w:t>
      </w:r>
      <w:r>
        <w:rPr>
          <w:rFonts w:hint="eastAsia" w:ascii="Times New Roman" w:hAnsi="Times New Roman" w:eastAsia="仿宋_GB2312" w:cs="Times New Roman"/>
          <w:color w:val="000000"/>
          <w:kern w:val="0"/>
          <w:sz w:val="32"/>
          <w:szCs w:val="32"/>
          <w:shd w:val="clear" w:color="auto" w:fill="FFFFFF"/>
          <w:lang w:bidi="ar"/>
        </w:rPr>
        <w:t>规</w:t>
      </w:r>
      <w:r>
        <w:rPr>
          <w:rFonts w:ascii="Times New Roman" w:hAnsi="Times New Roman" w:eastAsia="仿宋_GB2312" w:cs="Times New Roman"/>
          <w:color w:val="000000"/>
          <w:kern w:val="0"/>
          <w:sz w:val="32"/>
          <w:szCs w:val="32"/>
          <w:shd w:val="clear" w:color="auto" w:fill="FFFFFF"/>
          <w:lang w:bidi="ar"/>
        </w:rPr>
        <w:t>〔2021〕</w:t>
      </w:r>
      <w:r>
        <w:rPr>
          <w:rFonts w:hint="eastAsia" w:ascii="Times New Roman" w:hAnsi="Times New Roman" w:eastAsia="仿宋_GB2312" w:cs="Times New Roman"/>
          <w:color w:val="000000"/>
          <w:kern w:val="0"/>
          <w:sz w:val="32"/>
          <w:szCs w:val="32"/>
          <w:shd w:val="clear" w:color="auto" w:fill="FFFFFF"/>
          <w:lang w:bidi="ar"/>
        </w:rPr>
        <w:t>8</w:t>
      </w:r>
      <w:r>
        <w:rPr>
          <w:rFonts w:ascii="Times New Roman" w:hAnsi="Times New Roman" w:eastAsia="仿宋_GB2312" w:cs="Times New Roman"/>
          <w:color w:val="000000"/>
          <w:kern w:val="0"/>
          <w:sz w:val="32"/>
          <w:szCs w:val="32"/>
          <w:shd w:val="clear" w:color="auto" w:fill="FFFFFF"/>
          <w:lang w:bidi="ar"/>
        </w:rPr>
        <w:t>号）</w:t>
      </w:r>
      <w:r>
        <w:rPr>
          <w:rFonts w:hint="eastAsia" w:ascii="Times New Roman" w:hAnsi="Times New Roman" w:eastAsia="仿宋_GB2312" w:cs="Times New Roman"/>
          <w:color w:val="000000"/>
          <w:kern w:val="0"/>
          <w:sz w:val="32"/>
          <w:szCs w:val="32"/>
          <w:shd w:val="clear" w:color="auto" w:fill="FFFFFF"/>
          <w:lang w:bidi="ar"/>
        </w:rPr>
        <w:t>第九条</w:t>
      </w:r>
      <w:r>
        <w:rPr>
          <w:rFonts w:ascii="Times New Roman" w:hAnsi="Times New Roman" w:eastAsia="仿宋_GB2312" w:cs="Times New Roman"/>
          <w:color w:val="000000"/>
          <w:kern w:val="0"/>
          <w:sz w:val="32"/>
          <w:szCs w:val="32"/>
          <w:shd w:val="clear" w:color="auto" w:fill="FFFFFF"/>
          <w:lang w:bidi="ar"/>
        </w:rPr>
        <w:t>等有关规定</w:t>
      </w:r>
      <w:r>
        <w:rPr>
          <w:rFonts w:ascii="Times New Roman" w:hAnsi="Times New Roman" w:eastAsia="仿宋_GB2312" w:cs="Times New Roman"/>
          <w:kern w:val="0"/>
          <w:sz w:val="32"/>
          <w:szCs w:val="32"/>
        </w:rPr>
        <w:t>，拟定</w:t>
      </w:r>
      <w:r>
        <w:rPr>
          <w:rFonts w:ascii="Times New Roman" w:hAnsi="Times New Roman" w:eastAsia="仿宋_GB2312" w:cs="Times New Roman"/>
          <w:sz w:val="32"/>
          <w:szCs w:val="32"/>
        </w:rPr>
        <w:t>广州市黄埔区（中新广州知识城）</w:t>
      </w:r>
      <w:r>
        <w:rPr>
          <w:rFonts w:hint="eastAsia" w:ascii="Times New Roman" w:hAnsi="Times New Roman" w:eastAsia="仿宋_GB2312" w:cs="Times New Roman"/>
          <w:sz w:val="32"/>
          <w:szCs w:val="32"/>
          <w:lang w:eastAsia="zh-CN"/>
        </w:rPr>
        <w:t>2023年度第二十九批次</w:t>
      </w:r>
      <w:r>
        <w:rPr>
          <w:rFonts w:ascii="Times New Roman" w:hAnsi="Times New Roman" w:eastAsia="仿宋_GB2312" w:cs="Times New Roman"/>
          <w:sz w:val="32"/>
          <w:szCs w:val="32"/>
        </w:rPr>
        <w:t>城镇建设用地</w:t>
      </w:r>
      <w:r>
        <w:rPr>
          <w:rFonts w:hint="eastAsia"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55.1295亩</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被征地农民养老</w:t>
      </w:r>
      <w:r>
        <w:rPr>
          <w:rFonts w:ascii="Times New Roman" w:hAnsi="Times New Roman" w:eastAsia="仿宋_GB2312" w:cs="Times New Roman"/>
          <w:kern w:val="0"/>
          <w:sz w:val="32"/>
          <w:szCs w:val="32"/>
        </w:rPr>
        <w:t>保障</w:t>
      </w:r>
      <w:r>
        <w:rPr>
          <w:rFonts w:ascii="Times New Roman" w:hAnsi="Times New Roman" w:eastAsia="仿宋_GB2312" w:cs="Times New Roman"/>
          <w:sz w:val="32"/>
          <w:szCs w:val="32"/>
        </w:rPr>
        <w:t>方案</w:t>
      </w:r>
      <w:r>
        <w:rPr>
          <w:rFonts w:ascii="Times New Roman" w:hAnsi="Times New Roman" w:eastAsia="仿宋_GB2312" w:cs="Times New Roman"/>
          <w:kern w:val="0"/>
          <w:sz w:val="32"/>
          <w:szCs w:val="32"/>
        </w:rPr>
        <w:t>如下：</w:t>
      </w:r>
    </w:p>
    <w:p>
      <w:pPr>
        <w:ind w:firstLine="640" w:firstLineChars="200"/>
        <w:jc w:val="left"/>
        <w:rPr>
          <w:rFonts w:ascii="Times New Roman" w:hAnsi="Times New Roman" w:eastAsia="仿宋_GB2312" w:cs="Times New Roman"/>
          <w:kern w:val="0"/>
          <w:sz w:val="32"/>
          <w:szCs w:val="32"/>
        </w:rPr>
      </w:pPr>
      <w:r>
        <w:rPr>
          <w:rFonts w:ascii="Times New Roman" w:hAnsi="Times New Roman" w:eastAsia="黑体" w:cs="Times New Roman"/>
          <w:kern w:val="0"/>
          <w:sz w:val="32"/>
          <w:szCs w:val="32"/>
        </w:rPr>
        <w:t>一、对</w:t>
      </w:r>
      <w:r>
        <w:rPr>
          <w:rFonts w:ascii="Times New Roman" w:hAnsi="Times New Roman" w:eastAsia="黑体" w:cs="Times New Roman"/>
          <w:sz w:val="32"/>
          <w:szCs w:val="32"/>
        </w:rPr>
        <w:t>广州市黄埔区（中新广州知识城）</w:t>
      </w:r>
      <w:r>
        <w:rPr>
          <w:rFonts w:hint="eastAsia" w:ascii="Times New Roman" w:hAnsi="Times New Roman" w:eastAsia="黑体" w:cs="Times New Roman"/>
          <w:sz w:val="32"/>
          <w:szCs w:val="32"/>
          <w:lang w:eastAsia="zh-CN"/>
        </w:rPr>
        <w:t>2023年度第二十九批次</w:t>
      </w:r>
      <w:r>
        <w:rPr>
          <w:rFonts w:ascii="Times New Roman" w:hAnsi="Times New Roman" w:eastAsia="黑体" w:cs="Times New Roman"/>
          <w:sz w:val="32"/>
          <w:szCs w:val="32"/>
        </w:rPr>
        <w:t>城镇建设</w:t>
      </w:r>
      <w:r>
        <w:rPr>
          <w:rFonts w:ascii="Times New Roman" w:hAnsi="Times New Roman" w:eastAsia="黑体" w:cs="Times New Roman"/>
          <w:kern w:val="0"/>
          <w:sz w:val="32"/>
          <w:szCs w:val="32"/>
        </w:rPr>
        <w:t>用地</w:t>
      </w:r>
      <w:r>
        <w:rPr>
          <w:rFonts w:hint="eastAsia" w:ascii="Times New Roman" w:hAnsi="Times New Roman" w:eastAsia="黑体" w:cs="Times New Roman"/>
          <w:kern w:val="0"/>
          <w:sz w:val="32"/>
          <w:szCs w:val="32"/>
        </w:rPr>
        <w:t>（</w:t>
      </w:r>
      <w:r>
        <w:rPr>
          <w:rFonts w:hint="eastAsia" w:ascii="Times New Roman" w:hAnsi="Times New Roman" w:eastAsia="黑体" w:cs="Times New Roman"/>
          <w:kern w:val="0"/>
          <w:sz w:val="32"/>
          <w:szCs w:val="32"/>
          <w:lang w:eastAsia="zh-CN"/>
        </w:rPr>
        <w:t>55.1295亩</w:t>
      </w:r>
      <w:r>
        <w:rPr>
          <w:rFonts w:hint="eastAsia" w:ascii="Times New Roman" w:hAnsi="Times New Roman" w:eastAsia="黑体" w:cs="Times New Roman"/>
          <w:kern w:val="0"/>
          <w:sz w:val="32"/>
          <w:szCs w:val="32"/>
        </w:rPr>
        <w:t>）</w:t>
      </w:r>
      <w:r>
        <w:rPr>
          <w:rFonts w:ascii="Times New Roman" w:hAnsi="Times New Roman" w:eastAsia="黑体" w:cs="Times New Roman"/>
          <w:kern w:val="0"/>
          <w:sz w:val="32"/>
          <w:szCs w:val="32"/>
        </w:rPr>
        <w:t>涉及的被征地农民实施社会养老保障。</w:t>
      </w:r>
      <w:r>
        <w:rPr>
          <w:rFonts w:hint="eastAsia" w:ascii="Times New Roman" w:hAnsi="Times New Roman" w:eastAsia="仿宋_GB2312" w:cs="Times New Roman"/>
          <w:color w:val="000000"/>
          <w:kern w:val="0"/>
          <w:sz w:val="32"/>
          <w:szCs w:val="32"/>
          <w:shd w:val="clear" w:color="auto" w:fill="FFFFFF"/>
          <w:lang w:bidi="ar"/>
        </w:rPr>
        <w:t>依据广州市规划和自然资源局黄埔区分局、广州开发区规划和自然资源局提供情况，该项目征地双方于2021年8月前全部完成征地补偿安置协议签订，按粤府办</w:t>
      </w:r>
      <w:r>
        <w:rPr>
          <w:rFonts w:ascii="Times New Roman" w:hAnsi="Times New Roman" w:eastAsia="仿宋_GB2312" w:cs="Times New Roman"/>
          <w:color w:val="000000"/>
          <w:kern w:val="0"/>
          <w:sz w:val="32"/>
          <w:szCs w:val="32"/>
          <w:shd w:val="clear" w:color="auto" w:fill="FFFFFF"/>
          <w:lang w:bidi="ar"/>
        </w:rPr>
        <w:t>〔2021〕22号</w:t>
      </w:r>
      <w:r>
        <w:rPr>
          <w:rFonts w:hint="eastAsia" w:ascii="Times New Roman" w:hAnsi="Times New Roman" w:eastAsia="仿宋_GB2312" w:cs="Times New Roman"/>
          <w:color w:val="000000"/>
          <w:kern w:val="0"/>
          <w:sz w:val="32"/>
          <w:szCs w:val="32"/>
          <w:shd w:val="clear" w:color="auto" w:fill="FFFFFF"/>
          <w:lang w:bidi="ar"/>
        </w:rPr>
        <w:t>文第八点规定执行原征地社保政策。</w:t>
      </w:r>
    </w:p>
    <w:p>
      <w:pPr>
        <w:ind w:firstLine="640" w:firstLineChars="200"/>
        <w:jc w:val="left"/>
        <w:rPr>
          <w:rFonts w:ascii="仿宋_GB2312" w:hAnsi="Times New Roman" w:eastAsia="仿宋_GB2312"/>
          <w:kern w:val="0"/>
          <w:sz w:val="32"/>
          <w:szCs w:val="32"/>
          <w:shd w:val="clear" w:color="auto" w:fill="FFFFFF"/>
          <w:lang w:bidi="ar"/>
        </w:rPr>
      </w:pPr>
      <w:r>
        <w:rPr>
          <w:rFonts w:ascii="Times New Roman" w:hAnsi="Times New Roman" w:eastAsia="黑体" w:cs="Times New Roman"/>
          <w:kern w:val="0"/>
          <w:sz w:val="32"/>
          <w:szCs w:val="32"/>
        </w:rPr>
        <w:t>二、</w:t>
      </w:r>
      <w:r>
        <w:rPr>
          <w:rFonts w:hint="eastAsia" w:ascii="黑体" w:hAnsi="黑体" w:eastAsia="黑体" w:cs="Times New Roman"/>
          <w:bCs/>
          <w:kern w:val="0"/>
          <w:sz w:val="32"/>
          <w:szCs w:val="32"/>
          <w:shd w:val="clear" w:color="auto" w:fill="FFFFFF"/>
        </w:rPr>
        <w:t>纳入本次被征地农民养老保障的对象人数</w:t>
      </w:r>
      <w:r>
        <w:rPr>
          <w:rFonts w:ascii="Times New Roman" w:hAnsi="Times New Roman" w:eastAsia="黑体" w:cs="Times New Roman"/>
          <w:kern w:val="0"/>
          <w:sz w:val="32"/>
          <w:szCs w:val="32"/>
        </w:rPr>
        <w:t>。</w:t>
      </w:r>
      <w:r>
        <w:rPr>
          <w:rFonts w:ascii="Times New Roman" w:hAnsi="Times New Roman" w:eastAsia="仿宋_GB2312" w:cs="Times New Roman"/>
          <w:sz w:val="32"/>
          <w:szCs w:val="32"/>
        </w:rPr>
        <w:t>广州市黄埔区（中新广州知识城）</w:t>
      </w:r>
      <w:r>
        <w:rPr>
          <w:rFonts w:hint="eastAsia" w:ascii="Times New Roman" w:hAnsi="Times New Roman" w:eastAsia="仿宋_GB2312" w:cs="Times New Roman"/>
          <w:sz w:val="32"/>
          <w:szCs w:val="32"/>
          <w:lang w:eastAsia="zh-CN"/>
        </w:rPr>
        <w:t>2023年度第二十九批次</w:t>
      </w:r>
      <w:r>
        <w:rPr>
          <w:rFonts w:ascii="Times New Roman" w:hAnsi="Times New Roman" w:eastAsia="仿宋_GB2312" w:cs="Times New Roman"/>
          <w:sz w:val="32"/>
          <w:szCs w:val="32"/>
        </w:rPr>
        <w:t>城镇建设用地</w:t>
      </w:r>
      <w:r>
        <w:rPr>
          <w:rFonts w:hint="eastAsia"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55.1295亩</w:t>
      </w:r>
      <w:r>
        <w:rPr>
          <w:rFonts w:hint="eastAsia" w:ascii="Times New Roman" w:hAnsi="Times New Roman" w:eastAsia="仿宋_GB2312" w:cs="Times New Roman"/>
          <w:sz w:val="32"/>
          <w:szCs w:val="32"/>
        </w:rPr>
        <w:t>）征用我区九佛街凤尾村、九佛街红卫村、九佛街枫下村</w:t>
      </w:r>
      <w:r>
        <w:rPr>
          <w:rFonts w:hint="eastAsia" w:eastAsia="仿宋_GB2312" w:cs="Times New Roman"/>
          <w:sz w:val="32"/>
          <w:szCs w:val="32"/>
          <w:lang w:bidi="ar"/>
        </w:rPr>
        <w:t>面积共</w:t>
      </w:r>
      <w:r>
        <w:rPr>
          <w:rFonts w:hint="eastAsia" w:ascii="Times New Roman" w:hAnsi="Times New Roman" w:eastAsia="仿宋_GB2312" w:cs="Times New Roman"/>
          <w:sz w:val="32"/>
          <w:szCs w:val="32"/>
          <w:lang w:eastAsia="zh-CN" w:bidi="ar"/>
        </w:rPr>
        <w:t>55.1295亩</w:t>
      </w:r>
      <w:r>
        <w:rPr>
          <w:rFonts w:hint="eastAsia" w:ascii="Times New Roman" w:hAnsi="Times New Roman" w:eastAsia="仿宋_GB2312" w:cs="Times New Roman"/>
          <w:color w:val="000000"/>
          <w:kern w:val="0"/>
          <w:sz w:val="32"/>
          <w:szCs w:val="32"/>
          <w:shd w:val="clear" w:color="auto" w:fill="FFFFFF"/>
          <w:lang w:bidi="ar"/>
        </w:rPr>
        <w:t>（其中</w:t>
      </w:r>
      <w:r>
        <w:rPr>
          <w:rFonts w:hint="eastAsia" w:eastAsia="仿宋_GB2312" w:cs="Times New Roman"/>
          <w:color w:val="000000"/>
          <w:sz w:val="32"/>
          <w:szCs w:val="32"/>
          <w:lang w:bidi="ar"/>
        </w:rPr>
        <w:t>被征地单位留用地</w:t>
      </w:r>
      <w:r>
        <w:rPr>
          <w:rFonts w:hint="eastAsia" w:ascii="Times New Roman" w:hAnsi="Times New Roman" w:eastAsia="仿宋_GB2312" w:cs="Times New Roman"/>
          <w:color w:val="000000"/>
          <w:sz w:val="32"/>
          <w:szCs w:val="32"/>
          <w:lang w:bidi="ar"/>
        </w:rPr>
        <w:t>0</w:t>
      </w:r>
      <w:r>
        <w:rPr>
          <w:rFonts w:ascii="Times New Roman" w:hAnsi="Times New Roman" w:eastAsia="仿宋_GB2312" w:cs="Times New Roman"/>
          <w:color w:val="000000"/>
          <w:sz w:val="32"/>
          <w:szCs w:val="32"/>
          <w:lang w:bidi="ar"/>
        </w:rPr>
        <w:t>亩</w:t>
      </w:r>
      <w:r>
        <w:rPr>
          <w:rFonts w:hint="eastAsia" w:ascii="Times New Roman" w:hAnsi="Times New Roman" w:eastAsia="仿宋_GB2312" w:cs="Times New Roman"/>
          <w:color w:val="000000"/>
          <w:kern w:val="0"/>
          <w:sz w:val="32"/>
          <w:szCs w:val="32"/>
          <w:shd w:val="clear" w:color="auto" w:fill="FFFFFF"/>
          <w:lang w:bidi="ar"/>
        </w:rPr>
        <w:t>）</w:t>
      </w:r>
      <w:r>
        <w:rPr>
          <w:rFonts w:hint="eastAsia" w:eastAsia="仿宋_GB2312" w:cs="Times New Roman"/>
          <w:sz w:val="32"/>
          <w:szCs w:val="32"/>
          <w:lang w:bidi="ar"/>
        </w:rPr>
        <w:t>，该项目涉及的被征地单位留用地按规定不计提征地社保费，其余被征土地涉及</w:t>
      </w:r>
      <w:r>
        <w:rPr>
          <w:rFonts w:hint="eastAsia" w:ascii="仿宋_GB2312" w:hAnsi="Times New Roman" w:eastAsia="仿宋_GB2312" w:cs="Times New Roman"/>
          <w:kern w:val="0"/>
          <w:sz w:val="32"/>
          <w:szCs w:val="32"/>
          <w:shd w:val="clear" w:color="auto" w:fill="FFFFFF"/>
          <w:lang w:bidi="ar"/>
        </w:rPr>
        <w:t>应纳入养老保障范围的被征地农民</w:t>
      </w:r>
      <w:r>
        <w:rPr>
          <w:rFonts w:hint="eastAsia" w:ascii="Times New Roman" w:hAnsi="Times New Roman" w:eastAsia="仿宋_GB2312" w:cs="Times New Roman"/>
          <w:sz w:val="32"/>
          <w:szCs w:val="32"/>
        </w:rPr>
        <w:t>共</w:t>
      </w:r>
      <w:r>
        <w:rPr>
          <w:rFonts w:hint="eastAsia" w:ascii="Times New Roman" w:hAnsi="Times New Roman" w:eastAsia="仿宋_GB2312" w:cs="Times New Roman"/>
          <w:sz w:val="32"/>
          <w:szCs w:val="32"/>
          <w:lang w:val="en-US" w:eastAsia="zh-CN"/>
        </w:rPr>
        <w:t>14</w:t>
      </w:r>
      <w:r>
        <w:rPr>
          <w:rFonts w:hint="eastAsia" w:ascii="Times New Roman" w:hAnsi="Times New Roman" w:eastAsia="仿宋_GB2312" w:cs="Times New Roman"/>
          <w:sz w:val="32"/>
          <w:szCs w:val="32"/>
        </w:rPr>
        <w:t>人。具体</w:t>
      </w:r>
      <w:r>
        <w:rPr>
          <w:rFonts w:hint="eastAsia" w:ascii="仿宋_GB2312" w:hAnsi="Times New Roman" w:eastAsia="仿宋_GB2312" w:cs="Times New Roman"/>
          <w:kern w:val="0"/>
          <w:sz w:val="32"/>
          <w:szCs w:val="32"/>
          <w:shd w:val="clear" w:color="auto" w:fill="FFFFFF"/>
          <w:lang w:bidi="ar"/>
        </w:rPr>
        <w:t>名单经村民（股东）大会或村民（股东）代表大会讨论，由村委会报乡镇人民政府（街道办事处）核准、公示后确定，送所属社会保险经办部门办理相关社保手续。按规定，在项目依法获得用地获批后三个月内落实征地社保费分配到人，落实参保。</w:t>
      </w:r>
    </w:p>
    <w:p>
      <w:pPr>
        <w:ind w:firstLine="640" w:firstLineChars="200"/>
        <w:jc w:val="left"/>
        <w:rPr>
          <w:rFonts w:ascii="Times New Roman" w:hAnsi="Times New Roman" w:eastAsia="仿宋_GB2312" w:cs="Times New Roman"/>
          <w:sz w:val="32"/>
          <w:szCs w:val="32"/>
        </w:rPr>
      </w:pPr>
      <w:r>
        <w:rPr>
          <w:rFonts w:hint="eastAsia" w:ascii="黑体" w:hAnsi="黑体" w:eastAsia="黑体" w:cs="Times New Roman"/>
          <w:bCs/>
          <w:kern w:val="0"/>
          <w:sz w:val="32"/>
          <w:szCs w:val="32"/>
          <w:shd w:val="clear" w:color="auto" w:fill="FFFFFF"/>
        </w:rPr>
        <w:t>三、征地社保费筹集</w:t>
      </w:r>
      <w:r>
        <w:rPr>
          <w:rFonts w:ascii="Times New Roman" w:hAnsi="Times New Roman" w:eastAsia="黑体" w:cs="Times New Roman"/>
          <w:kern w:val="0"/>
          <w:sz w:val="32"/>
          <w:szCs w:val="32"/>
        </w:rPr>
        <w:t>。</w:t>
      </w:r>
      <w:r>
        <w:rPr>
          <w:rFonts w:ascii="Times New Roman" w:hAnsi="Times New Roman" w:eastAsia="仿宋_GB2312" w:cs="Times New Roman"/>
          <w:color w:val="000000"/>
          <w:kern w:val="0"/>
          <w:sz w:val="32"/>
          <w:szCs w:val="32"/>
          <w:shd w:val="clear" w:color="auto" w:fill="FFFFFF"/>
          <w:lang w:bidi="ar"/>
        </w:rPr>
        <w:t>征地主体（用人单位）按每人16200元的标准和应纳入养老保障范围的被征地农民人数，将所需资金共</w:t>
      </w:r>
      <w:r>
        <w:rPr>
          <w:rFonts w:hint="eastAsia" w:ascii="Times New Roman" w:hAnsi="Times New Roman" w:eastAsia="仿宋_GB2312" w:cs="Times New Roman"/>
          <w:kern w:val="0"/>
          <w:sz w:val="32"/>
          <w:szCs w:val="32"/>
          <w:shd w:val="clear" w:color="auto" w:fill="FFFFFF"/>
          <w:lang w:val="en-US" w:eastAsia="zh-CN" w:bidi="ar"/>
        </w:rPr>
        <w:t>22.68</w:t>
      </w:r>
      <w:r>
        <w:rPr>
          <w:rFonts w:ascii="Times New Roman" w:hAnsi="Times New Roman" w:eastAsia="仿宋_GB2312" w:cs="Times New Roman"/>
          <w:color w:val="000000"/>
          <w:kern w:val="0"/>
          <w:sz w:val="32"/>
          <w:szCs w:val="32"/>
          <w:shd w:val="clear" w:color="auto" w:fill="FFFFFF"/>
          <w:lang w:bidi="ar"/>
        </w:rPr>
        <w:t>万元一次性预存入黄埔区人力资源社会保障部门开设的“收缴被征地农民社会保障资金过渡户”，专款</w:t>
      </w:r>
      <w:r>
        <w:rPr>
          <w:rFonts w:ascii="Times New Roman" w:hAnsi="Times New Roman" w:eastAsia="仿宋_GB2312" w:cs="Times New Roman"/>
          <w:sz w:val="32"/>
          <w:szCs w:val="32"/>
        </w:rPr>
        <w:t>用于支付被征地农民养老保险个人缴费费用，征地社保费单列计提并列入征地成本。</w:t>
      </w:r>
    </w:p>
    <w:p>
      <w:pPr>
        <w:shd w:val="clear" w:color="auto" w:fill="FFFFFF"/>
        <w:spacing w:line="540" w:lineRule="exact"/>
        <w:ind w:firstLine="611" w:firstLineChars="191"/>
        <w:rPr>
          <w:rFonts w:ascii="Times New Roman" w:hAnsi="Times New Roman" w:eastAsia="仿宋_GB2312" w:cs="Times New Roman"/>
          <w:sz w:val="32"/>
          <w:szCs w:val="32"/>
        </w:rPr>
      </w:pPr>
    </w:p>
    <w:p>
      <w:pPr>
        <w:shd w:val="clear" w:color="auto" w:fill="FFFFFF"/>
        <w:spacing w:line="540" w:lineRule="exact"/>
        <w:ind w:firstLine="611" w:firstLineChars="191"/>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附表：征收土地及养老保障情况表</w:t>
      </w:r>
    </w:p>
    <w:p>
      <w:pPr>
        <w:rPr>
          <w:rFonts w:ascii="Times New Roman" w:hAnsi="Times New Roman" w:eastAsia="仿宋_GB2312" w:cs="Times New Roman"/>
          <w:kern w:val="32"/>
          <w:sz w:val="32"/>
          <w:szCs w:val="32"/>
        </w:rPr>
      </w:pPr>
      <w:r>
        <w:rPr>
          <w:rFonts w:ascii="Times New Roman" w:hAnsi="Times New Roman" w:eastAsia="仿宋_GB2312" w:cs="Times New Roman"/>
          <w:kern w:val="32"/>
          <w:sz w:val="32"/>
          <w:szCs w:val="32"/>
        </w:rPr>
        <w:br w:type="page"/>
      </w:r>
    </w:p>
    <w:p>
      <w:pPr>
        <w:rPr>
          <w:rFonts w:ascii="黑体" w:hAnsi="黑体" w:eastAsia="黑体" w:cs="黑体"/>
          <w:kern w:val="32"/>
          <w:sz w:val="32"/>
          <w:szCs w:val="32"/>
        </w:rPr>
      </w:pPr>
      <w:r>
        <w:rPr>
          <w:rFonts w:ascii="黑体" w:hAnsi="黑体" w:eastAsia="黑体" w:cs="黑体"/>
          <w:kern w:val="32"/>
          <w:sz w:val="32"/>
          <w:szCs w:val="32"/>
        </w:rPr>
        <w:t>附</w:t>
      </w:r>
      <w:r>
        <w:rPr>
          <w:rFonts w:hint="eastAsia" w:ascii="黑体" w:hAnsi="黑体" w:eastAsia="黑体" w:cs="黑体"/>
          <w:kern w:val="32"/>
          <w:sz w:val="32"/>
          <w:szCs w:val="32"/>
        </w:rPr>
        <w:t>表</w:t>
      </w:r>
      <w:r>
        <w:rPr>
          <w:rFonts w:ascii="黑体" w:hAnsi="黑体" w:eastAsia="黑体" w:cs="黑体"/>
          <w:kern w:val="32"/>
          <w:sz w:val="32"/>
          <w:szCs w:val="32"/>
        </w:rPr>
        <w:t>：</w:t>
      </w:r>
    </w:p>
    <w:p>
      <w:pPr>
        <w:ind w:firstLine="2200" w:firstLineChars="500"/>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征收土地及养老保障情况表</w:t>
      </w:r>
    </w:p>
    <w:p>
      <w:pPr>
        <w:ind w:firstLine="640" w:firstLineChars="200"/>
        <w:jc w:val="right"/>
        <w:rPr>
          <w:rFonts w:eastAsia="仿宋_GB2312"/>
          <w:sz w:val="32"/>
          <w:szCs w:val="32"/>
        </w:rPr>
      </w:pPr>
      <w:r>
        <w:rPr>
          <w:rFonts w:hint="eastAsia" w:eastAsia="仿宋_GB2312"/>
          <w:sz w:val="32"/>
          <w:szCs w:val="32"/>
        </w:rPr>
        <w:t>单位：亩、人、万元</w:t>
      </w:r>
    </w:p>
    <w:tbl>
      <w:tblPr>
        <w:tblStyle w:val="4"/>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498"/>
        <w:gridCol w:w="1845"/>
        <w:gridCol w:w="1020"/>
        <w:gridCol w:w="1005"/>
        <w:gridCol w:w="915"/>
        <w:gridCol w:w="780"/>
        <w:gridCol w:w="1185"/>
        <w:gridCol w:w="833"/>
        <w:gridCol w:w="11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99" w:hRule="atLeast"/>
          <w:jc w:val="center"/>
        </w:trPr>
        <w:tc>
          <w:tcPr>
            <w:tcW w:w="2343" w:type="dxa"/>
            <w:gridSpan w:val="2"/>
            <w:vMerge w:val="restart"/>
            <w:shd w:val="clear" w:color="auto" w:fill="FFFFFF"/>
            <w:vAlign w:val="center"/>
          </w:tcPr>
          <w:p>
            <w:pPr>
              <w:spacing w:line="320" w:lineRule="exact"/>
              <w:jc w:val="center"/>
              <w:rPr>
                <w:rFonts w:ascii="Times New Roman" w:hAnsi="Times New Roman" w:eastAsia="仿宋_GB2312" w:cs="Times New Roman"/>
                <w:sz w:val="24"/>
              </w:rPr>
            </w:pPr>
            <w:r>
              <w:rPr>
                <w:rFonts w:ascii="Times New Roman" w:hAnsi="Times New Roman" w:eastAsia="仿宋_GB2312" w:cs="Times New Roman"/>
                <w:sz w:val="24"/>
              </w:rPr>
              <w:t>被征地单位</w:t>
            </w:r>
          </w:p>
        </w:tc>
        <w:tc>
          <w:tcPr>
            <w:tcW w:w="3720" w:type="dxa"/>
            <w:gridSpan w:val="4"/>
            <w:shd w:val="clear" w:color="auto" w:fill="FFFFFF"/>
            <w:vAlign w:val="center"/>
          </w:tcPr>
          <w:p>
            <w:pPr>
              <w:spacing w:line="320" w:lineRule="exact"/>
              <w:jc w:val="center"/>
              <w:rPr>
                <w:rFonts w:ascii="Times New Roman" w:hAnsi="Times New Roman" w:eastAsia="仿宋_GB2312" w:cs="Times New Roman"/>
                <w:sz w:val="24"/>
              </w:rPr>
            </w:pPr>
            <w:r>
              <w:rPr>
                <w:rFonts w:ascii="Times New Roman" w:hAnsi="Times New Roman" w:eastAsia="仿宋_GB2312" w:cs="Times New Roman"/>
                <w:sz w:val="24"/>
              </w:rPr>
              <w:t>征收土地面积</w:t>
            </w:r>
          </w:p>
        </w:tc>
        <w:tc>
          <w:tcPr>
            <w:tcW w:w="1185" w:type="dxa"/>
            <w:vMerge w:val="restart"/>
            <w:shd w:val="clear" w:color="auto" w:fill="FFFFFF"/>
            <w:vAlign w:val="center"/>
          </w:tcPr>
          <w:p>
            <w:pPr>
              <w:spacing w:line="320" w:lineRule="exact"/>
              <w:jc w:val="center"/>
              <w:rPr>
                <w:rFonts w:ascii="Times New Roman" w:hAnsi="Times New Roman" w:eastAsia="仿宋_GB2312" w:cs="Times New Roman"/>
                <w:sz w:val="24"/>
              </w:rPr>
            </w:pPr>
            <w:r>
              <w:rPr>
                <w:rFonts w:ascii="Times New Roman" w:hAnsi="Times New Roman" w:eastAsia="仿宋_GB2312" w:cs="Times New Roman"/>
                <w:sz w:val="24"/>
              </w:rPr>
              <w:t>属于被征地单位留用地面积</w:t>
            </w:r>
          </w:p>
        </w:tc>
        <w:tc>
          <w:tcPr>
            <w:tcW w:w="833" w:type="dxa"/>
            <w:vMerge w:val="restart"/>
            <w:shd w:val="clear" w:color="auto" w:fill="FFFFFF"/>
            <w:vAlign w:val="center"/>
          </w:tcPr>
          <w:p>
            <w:pPr>
              <w:spacing w:line="320" w:lineRule="exact"/>
              <w:jc w:val="center"/>
              <w:rPr>
                <w:rFonts w:ascii="Times New Roman" w:hAnsi="Times New Roman" w:eastAsia="仿宋_GB2312" w:cs="Times New Roman"/>
                <w:sz w:val="24"/>
              </w:rPr>
            </w:pPr>
            <w:r>
              <w:rPr>
                <w:rFonts w:ascii="Times New Roman" w:hAnsi="Times New Roman" w:eastAsia="仿宋_GB2312" w:cs="Times New Roman"/>
                <w:sz w:val="24"/>
              </w:rPr>
              <w:t>需保障人数</w:t>
            </w:r>
          </w:p>
        </w:tc>
        <w:tc>
          <w:tcPr>
            <w:tcW w:w="1135" w:type="dxa"/>
            <w:vMerge w:val="restart"/>
            <w:shd w:val="clear" w:color="auto" w:fill="FFFFFF"/>
            <w:vAlign w:val="center"/>
          </w:tcPr>
          <w:p>
            <w:pPr>
              <w:spacing w:line="320" w:lineRule="exact"/>
              <w:jc w:val="center"/>
              <w:rPr>
                <w:rFonts w:ascii="Times New Roman" w:hAnsi="Times New Roman" w:eastAsia="仿宋_GB2312" w:cs="Times New Roman"/>
                <w:sz w:val="24"/>
              </w:rPr>
            </w:pPr>
            <w:r>
              <w:rPr>
                <w:rFonts w:ascii="Times New Roman" w:hAnsi="Times New Roman" w:eastAsia="仿宋_GB2312" w:cs="Times New Roman"/>
                <w:sz w:val="24"/>
              </w:rPr>
              <w:t>需计提养老保障费用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0" w:hRule="atLeast"/>
          <w:jc w:val="center"/>
        </w:trPr>
        <w:tc>
          <w:tcPr>
            <w:tcW w:w="2343" w:type="dxa"/>
            <w:gridSpan w:val="2"/>
            <w:vMerge w:val="continue"/>
            <w:vAlign w:val="center"/>
          </w:tcPr>
          <w:p>
            <w:pPr>
              <w:spacing w:line="320" w:lineRule="exact"/>
              <w:jc w:val="center"/>
              <w:rPr>
                <w:rFonts w:ascii="Times New Roman" w:hAnsi="Times New Roman" w:eastAsia="仿宋_GB2312" w:cs="Times New Roman"/>
                <w:sz w:val="24"/>
              </w:rPr>
            </w:pPr>
          </w:p>
        </w:tc>
        <w:tc>
          <w:tcPr>
            <w:tcW w:w="1020" w:type="dxa"/>
            <w:shd w:val="clear" w:color="auto" w:fill="FFFFFF"/>
            <w:vAlign w:val="center"/>
          </w:tcPr>
          <w:p>
            <w:pPr>
              <w:spacing w:line="320" w:lineRule="exact"/>
              <w:jc w:val="center"/>
              <w:rPr>
                <w:rFonts w:ascii="Times New Roman" w:hAnsi="Times New Roman" w:eastAsia="仿宋_GB2312" w:cs="Times New Roman"/>
                <w:sz w:val="24"/>
              </w:rPr>
            </w:pPr>
            <w:r>
              <w:rPr>
                <w:rFonts w:ascii="Times New Roman" w:hAnsi="Times New Roman" w:eastAsia="仿宋_GB2312" w:cs="Times New Roman"/>
                <w:sz w:val="24"/>
              </w:rPr>
              <w:t>合计</w:t>
            </w:r>
          </w:p>
        </w:tc>
        <w:tc>
          <w:tcPr>
            <w:tcW w:w="1005" w:type="dxa"/>
            <w:shd w:val="clear" w:color="auto" w:fill="FFFFFF"/>
            <w:vAlign w:val="center"/>
          </w:tcPr>
          <w:p>
            <w:pPr>
              <w:spacing w:line="320" w:lineRule="exact"/>
              <w:jc w:val="center"/>
              <w:rPr>
                <w:rFonts w:ascii="Times New Roman" w:hAnsi="Times New Roman" w:eastAsia="仿宋_GB2312" w:cs="Times New Roman"/>
                <w:sz w:val="24"/>
              </w:rPr>
            </w:pPr>
            <w:r>
              <w:rPr>
                <w:rFonts w:ascii="Times New Roman" w:hAnsi="Times New Roman" w:eastAsia="仿宋_GB2312" w:cs="Times New Roman"/>
                <w:sz w:val="24"/>
              </w:rPr>
              <w:t>农用地</w:t>
            </w:r>
          </w:p>
        </w:tc>
        <w:tc>
          <w:tcPr>
            <w:tcW w:w="915" w:type="dxa"/>
            <w:shd w:val="clear" w:color="auto" w:fill="FFFFFF"/>
            <w:vAlign w:val="center"/>
          </w:tcPr>
          <w:p>
            <w:pPr>
              <w:spacing w:line="320" w:lineRule="exact"/>
              <w:jc w:val="center"/>
              <w:rPr>
                <w:rFonts w:ascii="Times New Roman" w:hAnsi="Times New Roman" w:eastAsia="仿宋_GB2312" w:cs="Times New Roman"/>
                <w:sz w:val="24"/>
              </w:rPr>
            </w:pPr>
            <w:r>
              <w:rPr>
                <w:rFonts w:ascii="Times New Roman" w:hAnsi="Times New Roman" w:eastAsia="仿宋_GB2312" w:cs="Times New Roman"/>
                <w:sz w:val="24"/>
              </w:rPr>
              <w:t>建设用地</w:t>
            </w:r>
          </w:p>
        </w:tc>
        <w:tc>
          <w:tcPr>
            <w:tcW w:w="780" w:type="dxa"/>
            <w:shd w:val="clear" w:color="auto" w:fill="FFFFFF"/>
            <w:vAlign w:val="center"/>
          </w:tcPr>
          <w:p>
            <w:pPr>
              <w:spacing w:line="320" w:lineRule="exact"/>
              <w:jc w:val="center"/>
              <w:rPr>
                <w:rFonts w:ascii="Times New Roman" w:hAnsi="Times New Roman" w:eastAsia="仿宋_GB2312" w:cs="Times New Roman"/>
                <w:sz w:val="24"/>
              </w:rPr>
            </w:pPr>
            <w:r>
              <w:rPr>
                <w:rFonts w:ascii="Times New Roman" w:hAnsi="Times New Roman" w:eastAsia="仿宋_GB2312" w:cs="Times New Roman"/>
                <w:sz w:val="24"/>
              </w:rPr>
              <w:t>未利用地</w:t>
            </w:r>
          </w:p>
        </w:tc>
        <w:tc>
          <w:tcPr>
            <w:tcW w:w="1185" w:type="dxa"/>
            <w:vMerge w:val="continue"/>
            <w:vAlign w:val="center"/>
          </w:tcPr>
          <w:p>
            <w:pPr>
              <w:spacing w:line="320" w:lineRule="exact"/>
              <w:jc w:val="center"/>
              <w:rPr>
                <w:rFonts w:ascii="Times New Roman" w:hAnsi="Times New Roman" w:eastAsia="仿宋_GB2312" w:cs="Times New Roman"/>
                <w:sz w:val="24"/>
              </w:rPr>
            </w:pPr>
          </w:p>
        </w:tc>
        <w:tc>
          <w:tcPr>
            <w:tcW w:w="833" w:type="dxa"/>
            <w:vMerge w:val="continue"/>
            <w:vAlign w:val="center"/>
          </w:tcPr>
          <w:p>
            <w:pPr>
              <w:spacing w:line="320" w:lineRule="exact"/>
              <w:jc w:val="center"/>
              <w:rPr>
                <w:rFonts w:ascii="Times New Roman" w:hAnsi="Times New Roman" w:eastAsia="仿宋_GB2312" w:cs="Times New Roman"/>
                <w:sz w:val="24"/>
              </w:rPr>
            </w:pPr>
          </w:p>
        </w:tc>
        <w:tc>
          <w:tcPr>
            <w:tcW w:w="1135" w:type="dxa"/>
            <w:vMerge w:val="continue"/>
            <w:vAlign w:val="center"/>
          </w:tcPr>
          <w:p>
            <w:pPr>
              <w:spacing w:line="320" w:lineRule="exact"/>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498" w:type="dxa"/>
            <w:vMerge w:val="restart"/>
            <w:shd w:val="clear" w:color="auto" w:fill="FFFFFF"/>
            <w:noWrap/>
            <w:vAlign w:val="center"/>
          </w:tcPr>
          <w:p>
            <w:pPr>
              <w:spacing w:line="360" w:lineRule="exact"/>
              <w:jc w:val="center"/>
              <w:rPr>
                <w:rFonts w:ascii="Times New Roman" w:hAnsi="Times New Roman" w:eastAsia="仿宋_GB2312" w:cs="Times New Roman"/>
                <w:sz w:val="24"/>
              </w:rPr>
            </w:pPr>
            <w:r>
              <w:rPr>
                <w:rFonts w:hint="eastAsia" w:ascii="Times New Roman" w:hAnsi="Times New Roman" w:eastAsia="仿宋_GB2312" w:cs="Times New Roman"/>
                <w:sz w:val="24"/>
              </w:rPr>
              <w:t>九佛街</w:t>
            </w:r>
          </w:p>
        </w:tc>
        <w:tc>
          <w:tcPr>
            <w:tcW w:w="1845" w:type="dxa"/>
            <w:shd w:val="clear" w:color="auto" w:fill="FFFFFF"/>
            <w:vAlign w:val="center"/>
          </w:tcPr>
          <w:p>
            <w:pPr>
              <w:spacing w:line="360" w:lineRule="exact"/>
              <w:jc w:val="center"/>
              <w:rPr>
                <w:rFonts w:ascii="Times New Roman" w:hAnsi="Times New Roman" w:eastAsia="仿宋_GB2312" w:cs="Times New Roman"/>
                <w:sz w:val="22"/>
              </w:rPr>
            </w:pPr>
            <w:r>
              <w:rPr>
                <w:rFonts w:hint="eastAsia" w:ascii="Times New Roman" w:hAnsi="Times New Roman" w:eastAsia="仿宋_GB2312" w:cs="Times New Roman"/>
                <w:sz w:val="22"/>
                <w:lang w:val="en-US" w:eastAsia="zh-CN"/>
              </w:rPr>
              <w:t>凤尾村第一经济合作社</w:t>
            </w:r>
          </w:p>
        </w:tc>
        <w:tc>
          <w:tcPr>
            <w:tcW w:w="1020"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 xml:space="preserve">7.7955 </w:t>
            </w:r>
          </w:p>
        </w:tc>
        <w:tc>
          <w:tcPr>
            <w:tcW w:w="1005"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 xml:space="preserve">7.7955 </w:t>
            </w:r>
          </w:p>
        </w:tc>
        <w:tc>
          <w:tcPr>
            <w:tcW w:w="915"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0.0000</w:t>
            </w:r>
          </w:p>
        </w:tc>
        <w:tc>
          <w:tcPr>
            <w:tcW w:w="780"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0.0000</w:t>
            </w:r>
          </w:p>
        </w:tc>
        <w:tc>
          <w:tcPr>
            <w:tcW w:w="1185" w:type="dxa"/>
            <w:shd w:val="clear" w:color="auto" w:fill="FFFFFF"/>
            <w:vAlign w:val="center"/>
          </w:tcPr>
          <w:p>
            <w:pPr>
              <w:keepNext w:val="0"/>
              <w:keepLines w:val="0"/>
              <w:widowControl/>
              <w:suppressLineNumbers w:val="0"/>
              <w:jc w:val="center"/>
              <w:textAlignment w:val="center"/>
              <w:rPr>
                <w:rFonts w:ascii="Times New Roman" w:hAnsi="Times New Roman" w:cs="Times New Roman"/>
                <w:sz w:val="22"/>
              </w:rPr>
            </w:pPr>
            <w:r>
              <w:rPr>
                <w:rFonts w:hint="eastAsia" w:ascii="Times New Roman" w:hAnsi="Times New Roman" w:eastAsia="宋体" w:cs="Times New Roman"/>
                <w:i w:val="0"/>
                <w:iCs w:val="0"/>
                <w:color w:val="auto"/>
                <w:kern w:val="0"/>
                <w:sz w:val="22"/>
                <w:szCs w:val="22"/>
                <w:u w:val="none"/>
                <w:lang w:val="en-US" w:eastAsia="zh-CN" w:bidi="ar"/>
              </w:rPr>
              <w:t xml:space="preserve">0.0000 </w:t>
            </w:r>
          </w:p>
        </w:tc>
        <w:tc>
          <w:tcPr>
            <w:tcW w:w="833" w:type="dxa"/>
            <w:shd w:val="clear" w:color="auto" w:fill="FFFFFF"/>
            <w:vAlign w:val="center"/>
          </w:tcPr>
          <w:p>
            <w:pPr>
              <w:widowControl/>
              <w:jc w:val="center"/>
              <w:textAlignment w:val="center"/>
              <w:rPr>
                <w:rFonts w:hint="eastAsia" w:ascii="Times New Roman" w:hAnsi="Times New Roman" w:cs="Times New Roman" w:eastAsiaTheme="minorEastAsia"/>
                <w:sz w:val="22"/>
                <w:lang w:eastAsia="zh-CN"/>
              </w:rPr>
            </w:pPr>
            <w:r>
              <w:rPr>
                <w:rFonts w:hint="eastAsia" w:ascii="Times New Roman" w:hAnsi="Times New Roman" w:cs="Times New Roman"/>
                <w:sz w:val="22"/>
                <w:lang w:val="en-US" w:eastAsia="zh-CN"/>
              </w:rPr>
              <w:t>2</w:t>
            </w:r>
          </w:p>
        </w:tc>
        <w:tc>
          <w:tcPr>
            <w:tcW w:w="1135" w:type="dxa"/>
            <w:shd w:val="clear" w:color="auto" w:fill="FFFFFF"/>
            <w:noWrap/>
            <w:vAlign w:val="center"/>
          </w:tcPr>
          <w:p>
            <w:pPr>
              <w:widowControl/>
              <w:jc w:val="center"/>
              <w:textAlignment w:val="center"/>
              <w:rPr>
                <w:rFonts w:hint="default" w:ascii="Times New Roman" w:hAnsi="Times New Roman" w:cs="Times New Roman" w:eastAsiaTheme="minorEastAsia"/>
                <w:sz w:val="22"/>
                <w:lang w:val="en-US" w:eastAsia="zh-CN"/>
              </w:rPr>
            </w:pPr>
            <w:r>
              <w:rPr>
                <w:rFonts w:hint="eastAsia" w:ascii="Times New Roman" w:hAnsi="Times New Roman" w:cs="Times New Roman"/>
                <w:sz w:val="22"/>
                <w:lang w:val="en-US" w:eastAsia="zh-CN"/>
              </w:rPr>
              <w:t>3.24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498" w:type="dxa"/>
            <w:vMerge w:val="continue"/>
            <w:shd w:val="clear" w:color="auto" w:fill="FFFFFF"/>
            <w:noWrap/>
            <w:vAlign w:val="center"/>
          </w:tcPr>
          <w:p>
            <w:pPr>
              <w:spacing w:line="360" w:lineRule="exact"/>
              <w:jc w:val="center"/>
              <w:rPr>
                <w:rFonts w:ascii="Times New Roman" w:hAnsi="Times New Roman" w:eastAsia="仿宋_GB2312" w:cs="Times New Roman"/>
                <w:sz w:val="24"/>
              </w:rPr>
            </w:pPr>
          </w:p>
        </w:tc>
        <w:tc>
          <w:tcPr>
            <w:tcW w:w="1845" w:type="dxa"/>
            <w:shd w:val="clear" w:color="auto" w:fill="FFFFFF"/>
            <w:vAlign w:val="center"/>
          </w:tcPr>
          <w:p>
            <w:pPr>
              <w:spacing w:line="360" w:lineRule="exact"/>
              <w:jc w:val="center"/>
              <w:rPr>
                <w:rFonts w:ascii="Times New Roman" w:hAnsi="Times New Roman" w:eastAsia="仿宋_GB2312" w:cs="Times New Roman"/>
                <w:sz w:val="22"/>
              </w:rPr>
            </w:pPr>
            <w:r>
              <w:rPr>
                <w:rFonts w:hint="eastAsia" w:ascii="Times New Roman" w:hAnsi="Times New Roman" w:eastAsia="仿宋_GB2312" w:cs="Times New Roman"/>
                <w:sz w:val="22"/>
                <w:lang w:val="en-US" w:eastAsia="zh-CN"/>
              </w:rPr>
              <w:t>凤尾村第二经济合作社</w:t>
            </w:r>
          </w:p>
        </w:tc>
        <w:tc>
          <w:tcPr>
            <w:tcW w:w="1020"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 xml:space="preserve">1.4670 </w:t>
            </w:r>
          </w:p>
        </w:tc>
        <w:tc>
          <w:tcPr>
            <w:tcW w:w="1005"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 xml:space="preserve">1.4670 </w:t>
            </w:r>
          </w:p>
        </w:tc>
        <w:tc>
          <w:tcPr>
            <w:tcW w:w="915"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0.0000</w:t>
            </w:r>
          </w:p>
        </w:tc>
        <w:tc>
          <w:tcPr>
            <w:tcW w:w="780"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0.0000</w:t>
            </w:r>
          </w:p>
        </w:tc>
        <w:tc>
          <w:tcPr>
            <w:tcW w:w="1185" w:type="dxa"/>
            <w:shd w:val="clear" w:color="auto" w:fill="FFFFFF"/>
            <w:vAlign w:val="center"/>
          </w:tcPr>
          <w:p>
            <w:pPr>
              <w:keepNext w:val="0"/>
              <w:keepLines w:val="0"/>
              <w:widowControl/>
              <w:suppressLineNumbers w:val="0"/>
              <w:jc w:val="center"/>
              <w:textAlignment w:val="center"/>
              <w:rPr>
                <w:rFonts w:ascii="Times New Roman" w:hAnsi="Times New Roman" w:cs="Times New Roman"/>
                <w:sz w:val="22"/>
              </w:rPr>
            </w:pPr>
            <w:r>
              <w:rPr>
                <w:rFonts w:hint="eastAsia" w:ascii="Times New Roman" w:hAnsi="Times New Roman" w:eastAsia="宋体" w:cs="Times New Roman"/>
                <w:i w:val="0"/>
                <w:iCs w:val="0"/>
                <w:color w:val="auto"/>
                <w:kern w:val="0"/>
                <w:sz w:val="22"/>
                <w:szCs w:val="22"/>
                <w:u w:val="none"/>
                <w:lang w:val="en-US" w:eastAsia="zh-CN" w:bidi="ar"/>
              </w:rPr>
              <w:t xml:space="preserve">0.0000 </w:t>
            </w:r>
          </w:p>
        </w:tc>
        <w:tc>
          <w:tcPr>
            <w:tcW w:w="833" w:type="dxa"/>
            <w:shd w:val="clear" w:color="auto" w:fill="FFFFFF"/>
            <w:vAlign w:val="center"/>
          </w:tcPr>
          <w:p>
            <w:pPr>
              <w:widowControl/>
              <w:jc w:val="center"/>
              <w:textAlignment w:val="center"/>
              <w:rPr>
                <w:rFonts w:hint="eastAsia" w:ascii="Times New Roman" w:hAnsi="Times New Roman" w:cs="Times New Roman" w:eastAsiaTheme="minorEastAsia"/>
                <w:sz w:val="22"/>
                <w:lang w:eastAsia="zh-CN"/>
              </w:rPr>
            </w:pPr>
            <w:r>
              <w:rPr>
                <w:rFonts w:hint="eastAsia" w:ascii="Times New Roman" w:hAnsi="Times New Roman" w:cs="Times New Roman"/>
                <w:sz w:val="22"/>
                <w:lang w:val="en-US" w:eastAsia="zh-CN"/>
              </w:rPr>
              <w:t>1</w:t>
            </w:r>
          </w:p>
        </w:tc>
        <w:tc>
          <w:tcPr>
            <w:tcW w:w="1135" w:type="dxa"/>
            <w:shd w:val="clear" w:color="auto" w:fill="FFFFFF"/>
            <w:noWrap/>
            <w:vAlign w:val="center"/>
          </w:tcPr>
          <w:p>
            <w:pPr>
              <w:widowControl/>
              <w:jc w:val="center"/>
              <w:textAlignment w:val="center"/>
              <w:rPr>
                <w:rFonts w:hint="default" w:ascii="Times New Roman" w:hAnsi="Times New Roman" w:cs="Times New Roman" w:eastAsiaTheme="minorEastAsia"/>
                <w:sz w:val="22"/>
                <w:lang w:val="en-US" w:eastAsia="zh-CN"/>
              </w:rPr>
            </w:pPr>
            <w:r>
              <w:rPr>
                <w:rFonts w:hint="eastAsia" w:ascii="Times New Roman" w:hAnsi="Times New Roman" w:cs="Times New Roman"/>
                <w:sz w:val="22"/>
                <w:lang w:val="en-US" w:eastAsia="zh-CN"/>
              </w:rPr>
              <w:t>1.62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498" w:type="dxa"/>
            <w:vMerge w:val="continue"/>
            <w:shd w:val="clear" w:color="auto" w:fill="FFFFFF"/>
            <w:noWrap/>
            <w:vAlign w:val="center"/>
          </w:tcPr>
          <w:p>
            <w:pPr>
              <w:spacing w:line="360" w:lineRule="exact"/>
              <w:jc w:val="center"/>
              <w:rPr>
                <w:rFonts w:ascii="Times New Roman" w:hAnsi="Times New Roman" w:eastAsia="仿宋_GB2312" w:cs="Times New Roman"/>
                <w:sz w:val="24"/>
              </w:rPr>
            </w:pPr>
          </w:p>
        </w:tc>
        <w:tc>
          <w:tcPr>
            <w:tcW w:w="1845" w:type="dxa"/>
            <w:shd w:val="clear" w:color="auto" w:fill="FFFFFF"/>
            <w:vAlign w:val="center"/>
          </w:tcPr>
          <w:p>
            <w:pPr>
              <w:spacing w:line="360" w:lineRule="exact"/>
              <w:jc w:val="center"/>
              <w:rPr>
                <w:rFonts w:ascii="Times New Roman" w:hAnsi="Times New Roman" w:eastAsia="仿宋_GB2312" w:cs="Times New Roman"/>
                <w:sz w:val="22"/>
              </w:rPr>
            </w:pPr>
            <w:r>
              <w:rPr>
                <w:rFonts w:hint="eastAsia" w:ascii="Times New Roman" w:hAnsi="Times New Roman" w:eastAsia="仿宋_GB2312" w:cs="Times New Roman"/>
                <w:sz w:val="22"/>
                <w:lang w:val="en-US" w:eastAsia="zh-CN"/>
              </w:rPr>
              <w:t>凤尾村第五经济合作社</w:t>
            </w:r>
          </w:p>
        </w:tc>
        <w:tc>
          <w:tcPr>
            <w:tcW w:w="1020"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 xml:space="preserve">0.0375 </w:t>
            </w:r>
          </w:p>
        </w:tc>
        <w:tc>
          <w:tcPr>
            <w:tcW w:w="1005"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 xml:space="preserve">0.0375 </w:t>
            </w:r>
          </w:p>
        </w:tc>
        <w:tc>
          <w:tcPr>
            <w:tcW w:w="915"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 xml:space="preserve">0.0000 </w:t>
            </w:r>
          </w:p>
        </w:tc>
        <w:tc>
          <w:tcPr>
            <w:tcW w:w="780"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 xml:space="preserve">0.0000 </w:t>
            </w:r>
          </w:p>
        </w:tc>
        <w:tc>
          <w:tcPr>
            <w:tcW w:w="1185" w:type="dxa"/>
            <w:shd w:val="clear" w:color="auto" w:fill="FFFFFF"/>
            <w:vAlign w:val="center"/>
          </w:tcPr>
          <w:p>
            <w:pPr>
              <w:keepNext w:val="0"/>
              <w:keepLines w:val="0"/>
              <w:widowControl/>
              <w:suppressLineNumbers w:val="0"/>
              <w:jc w:val="center"/>
              <w:textAlignment w:val="center"/>
              <w:rPr>
                <w:rFonts w:ascii="Times New Roman" w:hAnsi="Times New Roman" w:cs="Times New Roman"/>
                <w:sz w:val="22"/>
              </w:rPr>
            </w:pPr>
            <w:r>
              <w:rPr>
                <w:rFonts w:hint="eastAsia" w:ascii="Times New Roman" w:hAnsi="Times New Roman" w:eastAsia="宋体" w:cs="Times New Roman"/>
                <w:i w:val="0"/>
                <w:iCs w:val="0"/>
                <w:color w:val="auto"/>
                <w:kern w:val="0"/>
                <w:sz w:val="22"/>
                <w:szCs w:val="22"/>
                <w:u w:val="none"/>
                <w:lang w:val="en-US" w:eastAsia="zh-CN" w:bidi="ar"/>
              </w:rPr>
              <w:t xml:space="preserve">0.0000 </w:t>
            </w:r>
          </w:p>
        </w:tc>
        <w:tc>
          <w:tcPr>
            <w:tcW w:w="833" w:type="dxa"/>
            <w:shd w:val="clear" w:color="auto" w:fill="FFFFFF"/>
            <w:vAlign w:val="center"/>
          </w:tcPr>
          <w:p>
            <w:pPr>
              <w:widowControl/>
              <w:jc w:val="center"/>
              <w:textAlignment w:val="center"/>
              <w:rPr>
                <w:rFonts w:hint="eastAsia" w:ascii="Times New Roman" w:hAnsi="Times New Roman" w:cs="Times New Roman" w:eastAsiaTheme="minorEastAsia"/>
                <w:sz w:val="22"/>
                <w:lang w:eastAsia="zh-CN"/>
              </w:rPr>
            </w:pPr>
            <w:r>
              <w:rPr>
                <w:rFonts w:hint="eastAsia" w:ascii="Times New Roman" w:hAnsi="Times New Roman" w:cs="Times New Roman"/>
                <w:sz w:val="22"/>
                <w:lang w:val="en-US" w:eastAsia="zh-CN"/>
              </w:rPr>
              <w:t>1</w:t>
            </w:r>
          </w:p>
        </w:tc>
        <w:tc>
          <w:tcPr>
            <w:tcW w:w="1135" w:type="dxa"/>
            <w:shd w:val="clear" w:color="auto" w:fill="FFFFFF"/>
            <w:noWrap/>
            <w:vAlign w:val="center"/>
          </w:tcPr>
          <w:p>
            <w:pPr>
              <w:widowControl/>
              <w:jc w:val="center"/>
              <w:textAlignment w:val="center"/>
              <w:rPr>
                <w:rFonts w:hint="default" w:ascii="Times New Roman" w:hAnsi="Times New Roman" w:cs="Times New Roman" w:eastAsiaTheme="minorEastAsia"/>
                <w:sz w:val="22"/>
                <w:lang w:val="en-US" w:eastAsia="zh-CN"/>
              </w:rPr>
            </w:pPr>
            <w:r>
              <w:rPr>
                <w:rFonts w:hint="eastAsia" w:ascii="Times New Roman" w:hAnsi="Times New Roman" w:cs="Times New Roman"/>
                <w:sz w:val="22"/>
                <w:lang w:val="en-US" w:eastAsia="zh-CN"/>
              </w:rPr>
              <w:t>1.62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498" w:type="dxa"/>
            <w:vMerge w:val="continue"/>
            <w:shd w:val="clear" w:color="auto" w:fill="FFFFFF"/>
            <w:noWrap/>
            <w:vAlign w:val="center"/>
          </w:tcPr>
          <w:p>
            <w:pPr>
              <w:spacing w:line="360" w:lineRule="exact"/>
              <w:jc w:val="center"/>
              <w:rPr>
                <w:rFonts w:ascii="Times New Roman" w:hAnsi="Times New Roman" w:eastAsia="仿宋_GB2312" w:cs="Times New Roman"/>
                <w:sz w:val="24"/>
              </w:rPr>
            </w:pPr>
          </w:p>
        </w:tc>
        <w:tc>
          <w:tcPr>
            <w:tcW w:w="1845" w:type="dxa"/>
            <w:shd w:val="clear" w:color="auto" w:fill="FFFFFF"/>
            <w:vAlign w:val="center"/>
          </w:tcPr>
          <w:p>
            <w:pPr>
              <w:spacing w:line="360" w:lineRule="exact"/>
              <w:jc w:val="center"/>
              <w:rPr>
                <w:rFonts w:ascii="Times New Roman" w:hAnsi="Times New Roman" w:eastAsia="仿宋_GB2312" w:cs="Times New Roman"/>
                <w:sz w:val="22"/>
              </w:rPr>
            </w:pPr>
            <w:r>
              <w:rPr>
                <w:rFonts w:hint="eastAsia" w:ascii="Times New Roman" w:hAnsi="Times New Roman" w:eastAsia="仿宋_GB2312" w:cs="Times New Roman"/>
                <w:sz w:val="22"/>
                <w:lang w:val="en-US" w:eastAsia="zh-CN"/>
              </w:rPr>
              <w:t>凤尾村第十经济合作社</w:t>
            </w:r>
          </w:p>
        </w:tc>
        <w:tc>
          <w:tcPr>
            <w:tcW w:w="1020"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 xml:space="preserve">5.4645 </w:t>
            </w:r>
          </w:p>
        </w:tc>
        <w:tc>
          <w:tcPr>
            <w:tcW w:w="1005"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 xml:space="preserve">5.4645 </w:t>
            </w:r>
          </w:p>
        </w:tc>
        <w:tc>
          <w:tcPr>
            <w:tcW w:w="915"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 xml:space="preserve">0.0000 </w:t>
            </w:r>
          </w:p>
        </w:tc>
        <w:tc>
          <w:tcPr>
            <w:tcW w:w="780"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 xml:space="preserve">0.0000 </w:t>
            </w:r>
          </w:p>
        </w:tc>
        <w:tc>
          <w:tcPr>
            <w:tcW w:w="1185" w:type="dxa"/>
            <w:shd w:val="clear" w:color="auto" w:fill="FFFFFF"/>
            <w:vAlign w:val="center"/>
          </w:tcPr>
          <w:p>
            <w:pPr>
              <w:keepNext w:val="0"/>
              <w:keepLines w:val="0"/>
              <w:widowControl/>
              <w:suppressLineNumbers w:val="0"/>
              <w:jc w:val="center"/>
              <w:textAlignment w:val="center"/>
              <w:rPr>
                <w:rFonts w:ascii="Times New Roman" w:hAnsi="Times New Roman" w:cs="Times New Roman"/>
                <w:sz w:val="22"/>
              </w:rPr>
            </w:pPr>
            <w:r>
              <w:rPr>
                <w:rFonts w:hint="eastAsia" w:ascii="Times New Roman" w:hAnsi="Times New Roman" w:eastAsia="宋体" w:cs="Times New Roman"/>
                <w:i w:val="0"/>
                <w:iCs w:val="0"/>
                <w:color w:val="auto"/>
                <w:kern w:val="0"/>
                <w:sz w:val="22"/>
                <w:szCs w:val="22"/>
                <w:u w:val="none"/>
                <w:lang w:val="en-US" w:eastAsia="zh-CN" w:bidi="ar"/>
              </w:rPr>
              <w:t xml:space="preserve">0.0000 </w:t>
            </w:r>
          </w:p>
        </w:tc>
        <w:tc>
          <w:tcPr>
            <w:tcW w:w="833" w:type="dxa"/>
            <w:shd w:val="clear" w:color="auto" w:fill="FFFFFF"/>
            <w:vAlign w:val="center"/>
          </w:tcPr>
          <w:p>
            <w:pPr>
              <w:widowControl/>
              <w:jc w:val="center"/>
              <w:textAlignment w:val="center"/>
              <w:rPr>
                <w:rFonts w:hint="eastAsia" w:ascii="Times New Roman" w:hAnsi="Times New Roman" w:cs="Times New Roman" w:eastAsiaTheme="minorEastAsia"/>
                <w:sz w:val="22"/>
                <w:lang w:eastAsia="zh-CN"/>
              </w:rPr>
            </w:pPr>
            <w:r>
              <w:rPr>
                <w:rFonts w:hint="eastAsia" w:ascii="Times New Roman" w:hAnsi="Times New Roman" w:cs="Times New Roman"/>
                <w:sz w:val="22"/>
                <w:lang w:val="en-US" w:eastAsia="zh-CN"/>
              </w:rPr>
              <w:t>1</w:t>
            </w:r>
          </w:p>
        </w:tc>
        <w:tc>
          <w:tcPr>
            <w:tcW w:w="1135" w:type="dxa"/>
            <w:shd w:val="clear" w:color="auto" w:fill="FFFFFF"/>
            <w:noWrap/>
            <w:vAlign w:val="center"/>
          </w:tcPr>
          <w:p>
            <w:pPr>
              <w:widowControl/>
              <w:jc w:val="center"/>
              <w:textAlignment w:val="center"/>
              <w:rPr>
                <w:rFonts w:ascii="Times New Roman" w:hAnsi="Times New Roman" w:cs="Times New Roman"/>
                <w:sz w:val="22"/>
              </w:rPr>
            </w:pPr>
            <w:r>
              <w:rPr>
                <w:rFonts w:hint="eastAsia" w:ascii="Times New Roman" w:hAnsi="Times New Roman" w:cs="Times New Roman"/>
                <w:sz w:val="22"/>
                <w:lang w:val="en-US" w:eastAsia="zh-CN"/>
              </w:rPr>
              <w:t>1.62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498" w:type="dxa"/>
            <w:vMerge w:val="continue"/>
            <w:shd w:val="clear" w:color="auto" w:fill="FFFFFF"/>
            <w:noWrap/>
            <w:vAlign w:val="center"/>
          </w:tcPr>
          <w:p>
            <w:pPr>
              <w:spacing w:line="360" w:lineRule="exact"/>
              <w:jc w:val="center"/>
              <w:rPr>
                <w:rFonts w:ascii="Times New Roman" w:hAnsi="Times New Roman" w:eastAsia="仿宋_GB2312" w:cs="Times New Roman"/>
                <w:sz w:val="24"/>
              </w:rPr>
            </w:pPr>
          </w:p>
        </w:tc>
        <w:tc>
          <w:tcPr>
            <w:tcW w:w="1845" w:type="dxa"/>
            <w:shd w:val="clear" w:color="auto" w:fill="FFFFFF"/>
            <w:vAlign w:val="center"/>
          </w:tcPr>
          <w:p>
            <w:pPr>
              <w:spacing w:line="360" w:lineRule="exact"/>
              <w:jc w:val="center"/>
              <w:rPr>
                <w:rFonts w:ascii="Times New Roman" w:hAnsi="Times New Roman" w:eastAsia="仿宋_GB2312" w:cs="Times New Roman"/>
                <w:sz w:val="22"/>
              </w:rPr>
            </w:pPr>
            <w:r>
              <w:rPr>
                <w:rFonts w:hint="eastAsia" w:ascii="Times New Roman" w:hAnsi="Times New Roman" w:eastAsia="仿宋_GB2312" w:cs="Times New Roman"/>
                <w:sz w:val="22"/>
                <w:lang w:val="en-US" w:eastAsia="zh-CN"/>
              </w:rPr>
              <w:t>凤尾村经济联合社</w:t>
            </w:r>
          </w:p>
        </w:tc>
        <w:tc>
          <w:tcPr>
            <w:tcW w:w="1020"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 xml:space="preserve">23.2290 </w:t>
            </w:r>
          </w:p>
        </w:tc>
        <w:tc>
          <w:tcPr>
            <w:tcW w:w="1005" w:type="dxa"/>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17.3460</w:t>
            </w:r>
          </w:p>
        </w:tc>
        <w:tc>
          <w:tcPr>
            <w:tcW w:w="915"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0.0000</w:t>
            </w:r>
          </w:p>
        </w:tc>
        <w:tc>
          <w:tcPr>
            <w:tcW w:w="780"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 xml:space="preserve">5.8830 </w:t>
            </w:r>
          </w:p>
        </w:tc>
        <w:tc>
          <w:tcPr>
            <w:tcW w:w="1185" w:type="dxa"/>
            <w:shd w:val="clear" w:color="auto" w:fill="FFFFFF"/>
            <w:vAlign w:val="center"/>
          </w:tcPr>
          <w:p>
            <w:pPr>
              <w:keepNext w:val="0"/>
              <w:keepLines w:val="0"/>
              <w:widowControl/>
              <w:suppressLineNumbers w:val="0"/>
              <w:jc w:val="center"/>
              <w:textAlignment w:val="center"/>
              <w:rPr>
                <w:rFonts w:ascii="Times New Roman" w:hAnsi="Times New Roman" w:cs="Times New Roman"/>
                <w:sz w:val="22"/>
              </w:rPr>
            </w:pPr>
            <w:r>
              <w:rPr>
                <w:rFonts w:hint="eastAsia" w:ascii="Times New Roman" w:hAnsi="Times New Roman" w:eastAsia="宋体" w:cs="Times New Roman"/>
                <w:i w:val="0"/>
                <w:iCs w:val="0"/>
                <w:color w:val="auto"/>
                <w:kern w:val="0"/>
                <w:sz w:val="22"/>
                <w:szCs w:val="22"/>
                <w:u w:val="none"/>
                <w:lang w:val="en-US" w:eastAsia="zh-CN" w:bidi="ar"/>
              </w:rPr>
              <w:t xml:space="preserve">0.0000 </w:t>
            </w:r>
          </w:p>
        </w:tc>
        <w:tc>
          <w:tcPr>
            <w:tcW w:w="833" w:type="dxa"/>
            <w:shd w:val="clear" w:color="auto" w:fill="FFFFFF"/>
            <w:vAlign w:val="center"/>
          </w:tcPr>
          <w:p>
            <w:pPr>
              <w:widowControl/>
              <w:jc w:val="center"/>
              <w:textAlignment w:val="center"/>
              <w:rPr>
                <w:rFonts w:hint="eastAsia" w:ascii="Times New Roman" w:hAnsi="Times New Roman" w:cs="Times New Roman" w:eastAsiaTheme="minorEastAsia"/>
                <w:sz w:val="22"/>
                <w:lang w:eastAsia="zh-CN"/>
              </w:rPr>
            </w:pPr>
            <w:r>
              <w:rPr>
                <w:rFonts w:hint="eastAsia" w:ascii="Times New Roman" w:hAnsi="Times New Roman" w:cs="Times New Roman"/>
                <w:sz w:val="22"/>
                <w:lang w:val="en-US" w:eastAsia="zh-CN"/>
              </w:rPr>
              <w:t>4</w:t>
            </w:r>
          </w:p>
        </w:tc>
        <w:tc>
          <w:tcPr>
            <w:tcW w:w="1135" w:type="dxa"/>
            <w:shd w:val="clear" w:color="auto" w:fill="FFFFFF"/>
            <w:noWrap/>
            <w:vAlign w:val="center"/>
          </w:tcPr>
          <w:p>
            <w:pPr>
              <w:widowControl/>
              <w:jc w:val="center"/>
              <w:textAlignment w:val="center"/>
              <w:rPr>
                <w:rFonts w:ascii="Times New Roman" w:hAnsi="Times New Roman" w:cs="Times New Roman"/>
                <w:sz w:val="22"/>
              </w:rPr>
            </w:pPr>
            <w:r>
              <w:rPr>
                <w:rFonts w:hint="eastAsia" w:ascii="Times New Roman" w:hAnsi="Times New Roman" w:cs="Times New Roman"/>
                <w:sz w:val="22"/>
                <w:lang w:val="en-US" w:eastAsia="zh-CN"/>
              </w:rPr>
              <w:t>6.48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498" w:type="dxa"/>
            <w:vMerge w:val="continue"/>
            <w:shd w:val="clear" w:color="auto" w:fill="FFFFFF"/>
            <w:noWrap/>
            <w:vAlign w:val="center"/>
          </w:tcPr>
          <w:p>
            <w:pPr>
              <w:spacing w:line="360" w:lineRule="exact"/>
              <w:jc w:val="center"/>
              <w:rPr>
                <w:rFonts w:ascii="Times New Roman" w:hAnsi="Times New Roman" w:eastAsia="仿宋_GB2312" w:cs="Times New Roman"/>
                <w:sz w:val="24"/>
              </w:rPr>
            </w:pPr>
          </w:p>
        </w:tc>
        <w:tc>
          <w:tcPr>
            <w:tcW w:w="1845" w:type="dxa"/>
            <w:shd w:val="clear" w:color="auto" w:fill="FFFFFF"/>
            <w:vAlign w:val="center"/>
          </w:tcPr>
          <w:p>
            <w:pPr>
              <w:spacing w:line="360" w:lineRule="exact"/>
              <w:jc w:val="center"/>
              <w:rPr>
                <w:rFonts w:ascii="Times New Roman" w:hAnsi="Times New Roman" w:eastAsia="仿宋_GB2312" w:cs="Times New Roman"/>
                <w:sz w:val="22"/>
              </w:rPr>
            </w:pPr>
            <w:r>
              <w:rPr>
                <w:rFonts w:hint="eastAsia" w:ascii="Times New Roman" w:hAnsi="Times New Roman" w:eastAsia="仿宋_GB2312" w:cs="Times New Roman"/>
                <w:sz w:val="22"/>
                <w:lang w:val="en-US" w:eastAsia="zh-CN"/>
              </w:rPr>
              <w:t>红卫村亨美庄经济合作社</w:t>
            </w:r>
          </w:p>
        </w:tc>
        <w:tc>
          <w:tcPr>
            <w:tcW w:w="1020"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 xml:space="preserve">0.5040 </w:t>
            </w:r>
          </w:p>
        </w:tc>
        <w:tc>
          <w:tcPr>
            <w:tcW w:w="1005"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 xml:space="preserve">0.5040 </w:t>
            </w:r>
          </w:p>
        </w:tc>
        <w:tc>
          <w:tcPr>
            <w:tcW w:w="915"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0.0000</w:t>
            </w:r>
          </w:p>
        </w:tc>
        <w:tc>
          <w:tcPr>
            <w:tcW w:w="780"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0.0000</w:t>
            </w:r>
          </w:p>
        </w:tc>
        <w:tc>
          <w:tcPr>
            <w:tcW w:w="1185" w:type="dxa"/>
            <w:shd w:val="clear" w:color="auto" w:fill="FFFFFF"/>
            <w:vAlign w:val="center"/>
          </w:tcPr>
          <w:p>
            <w:pPr>
              <w:keepNext w:val="0"/>
              <w:keepLines w:val="0"/>
              <w:widowControl/>
              <w:suppressLineNumbers w:val="0"/>
              <w:jc w:val="center"/>
              <w:textAlignment w:val="center"/>
              <w:rPr>
                <w:rFonts w:ascii="Times New Roman" w:hAnsi="Times New Roman" w:cs="Times New Roman"/>
                <w:sz w:val="22"/>
              </w:rPr>
            </w:pPr>
            <w:r>
              <w:rPr>
                <w:rFonts w:hint="eastAsia" w:ascii="Times New Roman" w:hAnsi="Times New Roman" w:eastAsia="宋体" w:cs="Times New Roman"/>
                <w:i w:val="0"/>
                <w:iCs w:val="0"/>
                <w:color w:val="auto"/>
                <w:kern w:val="0"/>
                <w:sz w:val="22"/>
                <w:szCs w:val="22"/>
                <w:u w:val="none"/>
                <w:lang w:val="en-US" w:eastAsia="zh-CN" w:bidi="ar"/>
              </w:rPr>
              <w:t xml:space="preserve">0.0000 </w:t>
            </w:r>
          </w:p>
        </w:tc>
        <w:tc>
          <w:tcPr>
            <w:tcW w:w="833" w:type="dxa"/>
            <w:shd w:val="clear" w:color="auto" w:fill="FFFFFF"/>
            <w:vAlign w:val="center"/>
          </w:tcPr>
          <w:p>
            <w:pPr>
              <w:widowControl/>
              <w:jc w:val="center"/>
              <w:textAlignment w:val="center"/>
              <w:rPr>
                <w:rFonts w:ascii="Times New Roman" w:hAnsi="Times New Roman" w:cs="Times New Roman"/>
                <w:sz w:val="22"/>
              </w:rPr>
            </w:pPr>
            <w:r>
              <w:rPr>
                <w:rFonts w:hint="eastAsia" w:ascii="Times New Roman" w:hAnsi="Times New Roman" w:cs="Times New Roman"/>
                <w:sz w:val="22"/>
              </w:rPr>
              <w:t>1</w:t>
            </w:r>
          </w:p>
        </w:tc>
        <w:tc>
          <w:tcPr>
            <w:tcW w:w="1135" w:type="dxa"/>
            <w:shd w:val="clear" w:color="auto" w:fill="FFFFFF"/>
            <w:noWrap/>
            <w:vAlign w:val="center"/>
          </w:tcPr>
          <w:p>
            <w:pPr>
              <w:widowControl/>
              <w:jc w:val="center"/>
              <w:textAlignment w:val="center"/>
              <w:rPr>
                <w:rFonts w:ascii="Times New Roman" w:hAnsi="Times New Roman" w:cs="Times New Roman"/>
                <w:sz w:val="22"/>
              </w:rPr>
            </w:pPr>
            <w:r>
              <w:rPr>
                <w:rFonts w:hint="eastAsia" w:ascii="Times New Roman" w:hAnsi="Times New Roman" w:cs="Times New Roman"/>
                <w:sz w:val="22"/>
              </w:rPr>
              <w:t>1.62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498" w:type="dxa"/>
            <w:vMerge w:val="continue"/>
            <w:shd w:val="clear" w:color="auto" w:fill="FFFFFF"/>
            <w:noWrap/>
            <w:vAlign w:val="center"/>
          </w:tcPr>
          <w:p>
            <w:pPr>
              <w:spacing w:line="360" w:lineRule="exact"/>
              <w:jc w:val="center"/>
              <w:rPr>
                <w:rFonts w:ascii="Times New Roman" w:hAnsi="Times New Roman" w:eastAsia="仿宋_GB2312" w:cs="Times New Roman"/>
                <w:sz w:val="24"/>
              </w:rPr>
            </w:pPr>
          </w:p>
        </w:tc>
        <w:tc>
          <w:tcPr>
            <w:tcW w:w="1845" w:type="dxa"/>
            <w:shd w:val="clear" w:color="auto" w:fill="FFFFFF"/>
            <w:vAlign w:val="center"/>
          </w:tcPr>
          <w:p>
            <w:pPr>
              <w:spacing w:line="360" w:lineRule="exact"/>
              <w:jc w:val="center"/>
              <w:rPr>
                <w:rFonts w:hint="eastAsia" w:ascii="Times New Roman" w:hAnsi="Times New Roman" w:eastAsia="仿宋_GB2312" w:cs="Times New Roman"/>
                <w:sz w:val="22"/>
              </w:rPr>
            </w:pPr>
            <w:r>
              <w:rPr>
                <w:rFonts w:hint="eastAsia" w:ascii="Times New Roman" w:hAnsi="Times New Roman" w:eastAsia="仿宋_GB2312" w:cs="Times New Roman"/>
                <w:sz w:val="22"/>
                <w:lang w:val="en-US" w:eastAsia="zh-CN"/>
              </w:rPr>
              <w:t>枫下村新星经济合作社</w:t>
            </w:r>
          </w:p>
        </w:tc>
        <w:tc>
          <w:tcPr>
            <w:tcW w:w="1020"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 xml:space="preserve">16.6320 </w:t>
            </w:r>
          </w:p>
        </w:tc>
        <w:tc>
          <w:tcPr>
            <w:tcW w:w="1005"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 xml:space="preserve">16.6320 </w:t>
            </w:r>
          </w:p>
        </w:tc>
        <w:tc>
          <w:tcPr>
            <w:tcW w:w="915"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0.0000</w:t>
            </w:r>
          </w:p>
        </w:tc>
        <w:tc>
          <w:tcPr>
            <w:tcW w:w="780"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0.0000</w:t>
            </w:r>
          </w:p>
        </w:tc>
        <w:tc>
          <w:tcPr>
            <w:tcW w:w="1185"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kern w:val="0"/>
                <w:sz w:val="22"/>
                <w:lang w:bidi="ar"/>
              </w:rPr>
            </w:pPr>
            <w:r>
              <w:rPr>
                <w:rFonts w:hint="eastAsia" w:ascii="Times New Roman" w:hAnsi="Times New Roman" w:eastAsia="宋体" w:cs="Times New Roman"/>
                <w:i w:val="0"/>
                <w:iCs w:val="0"/>
                <w:color w:val="auto"/>
                <w:kern w:val="0"/>
                <w:sz w:val="22"/>
                <w:szCs w:val="22"/>
                <w:u w:val="none"/>
                <w:lang w:val="en-US" w:eastAsia="zh-CN" w:bidi="ar"/>
              </w:rPr>
              <w:t xml:space="preserve">0.0000 </w:t>
            </w:r>
          </w:p>
        </w:tc>
        <w:tc>
          <w:tcPr>
            <w:tcW w:w="833" w:type="dxa"/>
            <w:shd w:val="clear" w:color="auto" w:fill="FFFFFF"/>
            <w:vAlign w:val="center"/>
          </w:tcPr>
          <w:p>
            <w:pPr>
              <w:widowControl/>
              <w:jc w:val="center"/>
              <w:textAlignment w:val="center"/>
              <w:rPr>
                <w:rFonts w:hint="eastAsia" w:ascii="Times New Roman" w:hAnsi="Times New Roman" w:cs="Times New Roman" w:eastAsiaTheme="minorEastAsia"/>
                <w:sz w:val="22"/>
                <w:lang w:val="en-US" w:eastAsia="zh-CN"/>
              </w:rPr>
            </w:pPr>
            <w:r>
              <w:rPr>
                <w:rFonts w:hint="eastAsia" w:ascii="Times New Roman" w:hAnsi="Times New Roman" w:cs="Times New Roman"/>
                <w:sz w:val="22"/>
                <w:lang w:val="en-US" w:eastAsia="zh-CN"/>
              </w:rPr>
              <w:t>4</w:t>
            </w:r>
          </w:p>
        </w:tc>
        <w:tc>
          <w:tcPr>
            <w:tcW w:w="1135" w:type="dxa"/>
            <w:shd w:val="clear" w:color="auto" w:fill="FFFFFF"/>
            <w:noWrap/>
            <w:vAlign w:val="center"/>
          </w:tcPr>
          <w:p>
            <w:pPr>
              <w:widowControl/>
              <w:jc w:val="center"/>
              <w:textAlignment w:val="center"/>
              <w:rPr>
                <w:rFonts w:hint="eastAsia" w:ascii="Times New Roman" w:hAnsi="Times New Roman" w:cs="Times New Roman"/>
                <w:sz w:val="22"/>
              </w:rPr>
            </w:pPr>
            <w:r>
              <w:rPr>
                <w:rFonts w:hint="eastAsia" w:ascii="Times New Roman" w:hAnsi="Times New Roman" w:cs="Times New Roman"/>
                <w:sz w:val="22"/>
                <w:lang w:val="en-US" w:eastAsia="zh-CN"/>
              </w:rPr>
              <w:t>6.48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2343" w:type="dxa"/>
            <w:gridSpan w:val="2"/>
            <w:shd w:val="clear" w:color="auto" w:fill="FFFFFF"/>
            <w:noWrap/>
            <w:vAlign w:val="center"/>
          </w:tcPr>
          <w:p>
            <w:pPr>
              <w:spacing w:line="360" w:lineRule="exact"/>
              <w:jc w:val="center"/>
              <w:rPr>
                <w:rFonts w:ascii="Times New Roman" w:hAnsi="Times New Roman" w:eastAsia="仿宋_GB2312" w:cs="Times New Roman"/>
                <w:sz w:val="22"/>
              </w:rPr>
            </w:pPr>
            <w:r>
              <w:rPr>
                <w:rFonts w:ascii="Times New Roman" w:hAnsi="Times New Roman" w:eastAsia="仿宋_GB2312" w:cs="Times New Roman"/>
                <w:b w:val="0"/>
                <w:bCs w:val="0"/>
                <w:sz w:val="22"/>
              </w:rPr>
              <w:t>合计</w:t>
            </w:r>
          </w:p>
        </w:tc>
        <w:tc>
          <w:tcPr>
            <w:tcW w:w="1020"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b/>
                <w:bCs/>
                <w:i w:val="0"/>
                <w:iCs w:val="0"/>
                <w:color w:val="auto"/>
                <w:kern w:val="0"/>
                <w:sz w:val="22"/>
                <w:szCs w:val="22"/>
                <w:u w:val="none"/>
                <w:lang w:val="en-US" w:eastAsia="zh-CN" w:bidi="ar"/>
              </w:rPr>
            </w:pPr>
            <w:r>
              <w:rPr>
                <w:rFonts w:hint="eastAsia" w:ascii="Times New Roman" w:hAnsi="Times New Roman" w:eastAsia="宋体" w:cs="Times New Roman"/>
                <w:b/>
                <w:bCs/>
                <w:i w:val="0"/>
                <w:iCs w:val="0"/>
                <w:color w:val="auto"/>
                <w:kern w:val="0"/>
                <w:sz w:val="22"/>
                <w:szCs w:val="22"/>
                <w:u w:val="none"/>
                <w:lang w:val="en-US" w:eastAsia="zh-CN" w:bidi="ar"/>
              </w:rPr>
              <w:t xml:space="preserve">55.1295 </w:t>
            </w:r>
          </w:p>
        </w:tc>
        <w:tc>
          <w:tcPr>
            <w:tcW w:w="1005" w:type="dxa"/>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kern w:val="0"/>
                <w:sz w:val="22"/>
                <w:szCs w:val="22"/>
                <w:u w:val="none"/>
                <w:lang w:val="en-US" w:eastAsia="zh-CN" w:bidi="ar"/>
              </w:rPr>
            </w:pPr>
            <w:r>
              <w:rPr>
                <w:rFonts w:hint="eastAsia" w:ascii="Times New Roman" w:hAnsi="Times New Roman" w:eastAsia="宋体" w:cs="Times New Roman"/>
                <w:b/>
                <w:bCs/>
                <w:i w:val="0"/>
                <w:iCs w:val="0"/>
                <w:color w:val="auto"/>
                <w:kern w:val="0"/>
                <w:sz w:val="22"/>
                <w:szCs w:val="22"/>
                <w:u w:val="none"/>
                <w:lang w:val="en-US" w:eastAsia="zh-CN" w:bidi="ar"/>
              </w:rPr>
              <w:t>49.2465</w:t>
            </w:r>
          </w:p>
        </w:tc>
        <w:tc>
          <w:tcPr>
            <w:tcW w:w="915"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b/>
                <w:bCs/>
                <w:i w:val="0"/>
                <w:iCs w:val="0"/>
                <w:color w:val="auto"/>
                <w:kern w:val="0"/>
                <w:sz w:val="22"/>
                <w:szCs w:val="22"/>
                <w:u w:val="none"/>
                <w:lang w:val="en-US" w:eastAsia="zh-CN" w:bidi="ar"/>
              </w:rPr>
            </w:pPr>
            <w:r>
              <w:rPr>
                <w:rFonts w:hint="eastAsia" w:ascii="Times New Roman" w:hAnsi="Times New Roman" w:eastAsia="宋体" w:cs="Times New Roman"/>
                <w:b/>
                <w:bCs/>
                <w:i w:val="0"/>
                <w:iCs w:val="0"/>
                <w:color w:val="auto"/>
                <w:kern w:val="0"/>
                <w:sz w:val="22"/>
                <w:szCs w:val="22"/>
                <w:u w:val="none"/>
                <w:lang w:val="en-US" w:eastAsia="zh-CN" w:bidi="ar"/>
              </w:rPr>
              <w:t>0.0000</w:t>
            </w:r>
          </w:p>
        </w:tc>
        <w:tc>
          <w:tcPr>
            <w:tcW w:w="780" w:type="dxa"/>
            <w:shd w:val="clear" w:color="auto" w:fill="FFFFFF"/>
            <w:vAlign w:val="center"/>
          </w:tcPr>
          <w:p>
            <w:pPr>
              <w:keepNext w:val="0"/>
              <w:keepLines w:val="0"/>
              <w:widowControl/>
              <w:suppressLineNumbers w:val="0"/>
              <w:jc w:val="center"/>
              <w:textAlignment w:val="center"/>
              <w:rPr>
                <w:rFonts w:hint="eastAsia" w:ascii="Times New Roman" w:hAnsi="Times New Roman" w:eastAsia="宋体" w:cs="Times New Roman"/>
                <w:b/>
                <w:bCs/>
                <w:i w:val="0"/>
                <w:iCs w:val="0"/>
                <w:color w:val="auto"/>
                <w:kern w:val="0"/>
                <w:sz w:val="22"/>
                <w:szCs w:val="22"/>
                <w:u w:val="none"/>
                <w:lang w:val="en-US" w:eastAsia="zh-CN" w:bidi="ar"/>
              </w:rPr>
            </w:pPr>
            <w:r>
              <w:rPr>
                <w:rFonts w:hint="eastAsia" w:ascii="Times New Roman" w:hAnsi="Times New Roman" w:eastAsia="宋体" w:cs="Times New Roman"/>
                <w:b/>
                <w:bCs/>
                <w:i w:val="0"/>
                <w:iCs w:val="0"/>
                <w:color w:val="auto"/>
                <w:kern w:val="0"/>
                <w:sz w:val="22"/>
                <w:szCs w:val="22"/>
                <w:u w:val="none"/>
                <w:lang w:val="en-US" w:eastAsia="zh-CN" w:bidi="ar"/>
              </w:rPr>
              <w:t xml:space="preserve">5.8830 </w:t>
            </w:r>
          </w:p>
        </w:tc>
        <w:tc>
          <w:tcPr>
            <w:tcW w:w="1185" w:type="dxa"/>
            <w:shd w:val="clear" w:color="auto" w:fill="FFFFFF"/>
            <w:vAlign w:val="center"/>
          </w:tcPr>
          <w:p>
            <w:pPr>
              <w:widowControl/>
              <w:jc w:val="center"/>
              <w:textAlignment w:val="center"/>
              <w:rPr>
                <w:rFonts w:hint="eastAsia" w:ascii="Times New Roman" w:hAnsi="Times New Roman" w:cs="Times New Roman"/>
                <w:b/>
                <w:bCs/>
                <w:sz w:val="22"/>
                <w:lang w:val="en-US" w:eastAsia="zh-CN"/>
              </w:rPr>
            </w:pPr>
            <w:r>
              <w:rPr>
                <w:rFonts w:hint="eastAsia" w:ascii="Times New Roman" w:hAnsi="Times New Roman" w:cs="Times New Roman"/>
                <w:b/>
                <w:bCs/>
                <w:sz w:val="22"/>
                <w:lang w:val="en-US" w:eastAsia="zh-CN"/>
              </w:rPr>
              <w:t xml:space="preserve">0.0000 </w:t>
            </w:r>
          </w:p>
        </w:tc>
        <w:tc>
          <w:tcPr>
            <w:tcW w:w="833" w:type="dxa"/>
            <w:shd w:val="clear" w:color="auto" w:fill="FFFFFF"/>
            <w:vAlign w:val="center"/>
          </w:tcPr>
          <w:p>
            <w:pPr>
              <w:widowControl/>
              <w:jc w:val="center"/>
              <w:textAlignment w:val="center"/>
              <w:rPr>
                <w:rFonts w:hint="default" w:ascii="Times New Roman" w:hAnsi="Times New Roman" w:cs="Times New Roman" w:eastAsiaTheme="minorEastAsia"/>
                <w:b/>
                <w:bCs/>
                <w:sz w:val="22"/>
                <w:lang w:val="en-US" w:eastAsia="zh-CN"/>
              </w:rPr>
            </w:pPr>
            <w:r>
              <w:rPr>
                <w:rFonts w:hint="eastAsia" w:ascii="Times New Roman" w:hAnsi="Times New Roman" w:cs="Times New Roman"/>
                <w:b/>
                <w:bCs/>
                <w:sz w:val="22"/>
                <w:lang w:val="en-US" w:eastAsia="zh-CN"/>
              </w:rPr>
              <w:t>14</w:t>
            </w:r>
          </w:p>
        </w:tc>
        <w:tc>
          <w:tcPr>
            <w:tcW w:w="1135" w:type="dxa"/>
            <w:shd w:val="clear" w:color="auto" w:fill="FFFFFF"/>
            <w:noWrap/>
            <w:vAlign w:val="center"/>
          </w:tcPr>
          <w:p>
            <w:pPr>
              <w:spacing w:line="360" w:lineRule="exact"/>
              <w:jc w:val="center"/>
              <w:rPr>
                <w:rFonts w:hint="default" w:ascii="Times New Roman" w:hAnsi="Times New Roman" w:eastAsia="仿宋_GB2312" w:cs="Times New Roman"/>
                <w:b/>
                <w:bCs/>
                <w:sz w:val="22"/>
                <w:lang w:val="en-US" w:eastAsia="zh-CN"/>
              </w:rPr>
            </w:pPr>
            <w:r>
              <w:rPr>
                <w:rFonts w:hint="eastAsia" w:ascii="Times New Roman" w:hAnsi="Times New Roman" w:eastAsia="仿宋_GB2312" w:cs="Times New Roman"/>
                <w:b/>
                <w:bCs/>
                <w:sz w:val="22"/>
                <w:lang w:val="en-US" w:eastAsia="zh-CN"/>
              </w:rPr>
              <w:t>22.68</w:t>
            </w:r>
          </w:p>
        </w:tc>
      </w:tr>
    </w:tbl>
    <w:p>
      <w:pPr>
        <w:rPr>
          <w:rFonts w:ascii="Times New Roman" w:hAnsi="Times New Roman" w:eastAsia="΢ȭхڢ; line-height:23px;" w:cs="Times New Roman"/>
          <w:sz w:val="32"/>
          <w:szCs w:val="32"/>
        </w:rPr>
      </w:pPr>
    </w:p>
    <w:p>
      <w:pPr>
        <w:ind w:firstLine="640" w:firstLineChars="200"/>
        <w:jc w:val="right"/>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广州市黄埔区人力资源和社会保障局</w:t>
      </w:r>
    </w:p>
    <w:p>
      <w:pPr>
        <w:ind w:firstLine="640" w:firstLineChars="200"/>
        <w:jc w:val="center"/>
        <w:sectPr>
          <w:pgSz w:w="11906" w:h="16838"/>
          <w:pgMar w:top="1417" w:right="1474" w:bottom="1417" w:left="1417" w:header="851" w:footer="992" w:gutter="0"/>
          <w:cols w:space="425" w:num="1"/>
          <w:docGrid w:type="lines" w:linePitch="312" w:charSpace="0"/>
        </w:sectPr>
      </w:pPr>
      <w:r>
        <w:rPr>
          <w:rFonts w:hint="eastAsia" w:ascii="Times New Roman" w:hAnsi="Times New Roman" w:eastAsia="仿宋_GB2312" w:cs="Times New Roman"/>
          <w:sz w:val="32"/>
          <w:szCs w:val="32"/>
        </w:rPr>
        <w:t xml:space="preserve">                   </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rPr>
        <w:t>3</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lang w:val="en-US" w:eastAsia="zh-CN"/>
        </w:rPr>
        <w:t>11</w:t>
      </w:r>
      <w:r>
        <w:rPr>
          <w:rFonts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16</w:t>
      </w:r>
      <w:r>
        <w:rPr>
          <w:rFonts w:ascii="Times New Roman" w:hAnsi="Times New Roman" w:eastAsia="仿宋_GB2312" w:cs="Times New Roman"/>
          <w:sz w:val="32"/>
          <w:szCs w:val="32"/>
        </w:rPr>
        <w:t>日</w:t>
      </w:r>
    </w:p>
    <w:p>
      <w:pPr>
        <w:adjustRightInd w:val="0"/>
        <w:snapToGrid w:val="0"/>
        <w:spacing w:line="600" w:lineRule="exact"/>
        <w:jc w:val="center"/>
        <w:rPr>
          <w:rFonts w:ascii="Times New Roman" w:hAnsi="Times New Roman" w:eastAsia="方正小标宋简体" w:cs="Times New Roman"/>
          <w:sz w:val="44"/>
          <w:szCs w:val="44"/>
        </w:rPr>
      </w:pPr>
      <w:r>
        <w:rPr>
          <w:rFonts w:hint="eastAsia" w:ascii="Times New Roman" w:hAnsi="Times New Roman" w:eastAsia="方正小标宋简体" w:cs="Times New Roman"/>
          <w:sz w:val="44"/>
          <w:szCs w:val="44"/>
        </w:rPr>
        <w:t>关于</w:t>
      </w:r>
      <w:r>
        <w:rPr>
          <w:rFonts w:ascii="Times New Roman" w:hAnsi="Times New Roman" w:eastAsia="方正小标宋简体" w:cs="Times New Roman"/>
          <w:sz w:val="44"/>
          <w:szCs w:val="44"/>
        </w:rPr>
        <w:t>广州市黄埔区（中新广州知识城）</w:t>
      </w:r>
      <w:r>
        <w:rPr>
          <w:rFonts w:hint="eastAsia" w:ascii="Times New Roman" w:hAnsi="Times New Roman" w:eastAsia="方正小标宋简体" w:cs="Times New Roman"/>
          <w:sz w:val="44"/>
          <w:szCs w:val="44"/>
        </w:rPr>
        <w:t>2</w:t>
      </w:r>
      <w:r>
        <w:rPr>
          <w:rFonts w:hint="eastAsia" w:ascii="Times New Roman" w:hAnsi="Times New Roman" w:eastAsia="方正小标宋简体" w:cs="Times New Roman"/>
          <w:sz w:val="44"/>
          <w:szCs w:val="44"/>
          <w:lang w:eastAsia="zh-CN"/>
        </w:rPr>
        <w:t>023   年度第二十九批次</w:t>
      </w:r>
      <w:r>
        <w:rPr>
          <w:rFonts w:ascii="Times New Roman" w:hAnsi="Times New Roman" w:eastAsia="方正小标宋简体" w:cs="Times New Roman"/>
          <w:sz w:val="44"/>
          <w:szCs w:val="44"/>
        </w:rPr>
        <w:t>城镇建设用地</w:t>
      </w:r>
      <w:r>
        <w:rPr>
          <w:rFonts w:hint="eastAsia" w:ascii="Times New Roman" w:hAnsi="Times New Roman" w:eastAsia="方正小标宋简体" w:cs="Times New Roman"/>
          <w:sz w:val="44"/>
          <w:szCs w:val="44"/>
        </w:rPr>
        <w:t>项目</w:t>
      </w:r>
      <w:r>
        <w:rPr>
          <w:rFonts w:ascii="Times New Roman" w:hAnsi="Times New Roman" w:eastAsia="方正小标宋简体" w:cs="Times New Roman"/>
          <w:sz w:val="44"/>
          <w:szCs w:val="44"/>
        </w:rPr>
        <w:t>被征地</w:t>
      </w:r>
      <w:r>
        <w:rPr>
          <w:rFonts w:hint="eastAsia" w:ascii="Times New Roman" w:hAnsi="Times New Roman" w:eastAsia="方正小标宋简体" w:cs="Times New Roman"/>
          <w:sz w:val="44"/>
          <w:szCs w:val="44"/>
        </w:rPr>
        <w:t xml:space="preserve">     </w:t>
      </w:r>
      <w:r>
        <w:rPr>
          <w:rFonts w:ascii="Times New Roman" w:hAnsi="Times New Roman" w:eastAsia="方正小标宋简体" w:cs="Times New Roman"/>
          <w:sz w:val="44"/>
          <w:szCs w:val="44"/>
        </w:rPr>
        <w:t>农民养老保障方案</w:t>
      </w:r>
      <w:r>
        <w:rPr>
          <w:rFonts w:hint="eastAsia" w:ascii="Times New Roman" w:hAnsi="Times New Roman" w:eastAsia="方正小标宋简体" w:cs="Times New Roman"/>
          <w:sz w:val="44"/>
          <w:szCs w:val="44"/>
        </w:rPr>
        <w:t>(</w:t>
      </w:r>
      <w:r>
        <w:rPr>
          <w:rFonts w:hint="eastAsia" w:ascii="Times New Roman" w:hAnsi="Times New Roman" w:eastAsia="方正小标宋简体" w:cs="Times New Roman"/>
          <w:sz w:val="44"/>
          <w:szCs w:val="44"/>
          <w:lang w:eastAsia="zh-CN"/>
        </w:rPr>
        <w:t>31.3860亩</w:t>
      </w:r>
      <w:r>
        <w:rPr>
          <w:rFonts w:hint="eastAsia" w:ascii="Times New Roman" w:hAnsi="Times New Roman" w:eastAsia="方正小标宋简体" w:cs="Times New Roman"/>
          <w:sz w:val="44"/>
          <w:szCs w:val="44"/>
        </w:rPr>
        <w:t>)</w:t>
      </w:r>
    </w:p>
    <w:p>
      <w:pPr>
        <w:tabs>
          <w:tab w:val="left" w:pos="2160"/>
          <w:tab w:val="left" w:pos="2340"/>
          <w:tab w:val="left" w:pos="6480"/>
        </w:tabs>
        <w:spacing w:line="579" w:lineRule="exact"/>
        <w:ind w:right="23" w:rightChars="11"/>
        <w:rPr>
          <w:rFonts w:ascii="Times New Roman" w:hAnsi="Times New Roman" w:eastAsia="仿宋_GB2312" w:cs="Times New Roman"/>
          <w:sz w:val="32"/>
          <w:szCs w:val="32"/>
          <w:shd w:val="clear" w:color="auto" w:fill="FFFFFF"/>
        </w:rPr>
      </w:pPr>
    </w:p>
    <w:p>
      <w:pPr>
        <w:ind w:firstLine="640" w:firstLineChars="200"/>
        <w:rPr>
          <w:rFonts w:ascii="Times New Roman" w:hAnsi="Times New Roman" w:eastAsia="仿宋_GB2312" w:cs="Times New Roman"/>
          <w:sz w:val="32"/>
          <w:szCs w:val="32"/>
          <w:u w:val="single"/>
        </w:rPr>
      </w:pPr>
      <w:r>
        <w:rPr>
          <w:rFonts w:hint="eastAsia" w:ascii="仿宋_GB2312" w:hAnsi="Times New Roman" w:eastAsia="仿宋_GB2312" w:cs="Times New Roman"/>
          <w:kern w:val="0"/>
          <w:sz w:val="32"/>
          <w:szCs w:val="32"/>
          <w:shd w:val="clear" w:color="auto" w:fill="FFFFFF"/>
          <w:lang w:bidi="ar"/>
        </w:rPr>
        <w:t>依照</w:t>
      </w:r>
      <w:r>
        <w:rPr>
          <w:rFonts w:hint="eastAsia" w:ascii="仿宋_GB2312" w:hAnsi="Times New Roman" w:eastAsia="仿宋_GB2312" w:cs="Times New Roman"/>
          <w:sz w:val="32"/>
          <w:szCs w:val="32"/>
        </w:rPr>
        <w:t>《中华人民共和国土地管理法》、</w:t>
      </w:r>
      <w:r>
        <w:rPr>
          <w:rFonts w:hint="eastAsia" w:ascii="仿宋_GB2312" w:hAnsi="Times New Roman" w:eastAsia="仿宋_GB2312" w:cs="Times New Roman"/>
          <w:kern w:val="0"/>
          <w:sz w:val="32"/>
          <w:szCs w:val="32"/>
          <w:shd w:val="clear" w:color="auto" w:fill="FFFFFF"/>
          <w:lang w:bidi="ar"/>
        </w:rPr>
        <w:t>《关于切实做好被征地农民社会保障工作有关问题的通知》</w:t>
      </w:r>
      <w:r>
        <w:rPr>
          <w:rFonts w:ascii="Times New Roman" w:hAnsi="Times New Roman" w:eastAsia="仿宋_GB2312" w:cs="Times New Roman"/>
          <w:kern w:val="0"/>
          <w:sz w:val="32"/>
          <w:szCs w:val="32"/>
          <w:shd w:val="clear" w:color="auto" w:fill="FFFFFF"/>
          <w:lang w:bidi="ar"/>
        </w:rPr>
        <w:t>（劳社部发〔2007〕14号，下称劳社部发〔2007〕14号）</w:t>
      </w:r>
      <w:r>
        <w:rPr>
          <w:rFonts w:hint="eastAsia" w:ascii="Times New Roman" w:hAnsi="Times New Roman" w:eastAsia="仿宋_GB2312" w:cs="Times New Roman"/>
          <w:kern w:val="0"/>
          <w:sz w:val="32"/>
          <w:szCs w:val="32"/>
          <w:shd w:val="clear" w:color="auto" w:fill="FFFFFF"/>
          <w:lang w:bidi="ar"/>
        </w:rPr>
        <w:t>、</w:t>
      </w:r>
      <w:r>
        <w:rPr>
          <w:rFonts w:ascii="Times New Roman" w:hAnsi="Times New Roman" w:eastAsia="仿宋_GB2312" w:cs="Times New Roman"/>
          <w:kern w:val="0"/>
          <w:sz w:val="32"/>
          <w:szCs w:val="32"/>
          <w:shd w:val="clear" w:color="auto" w:fill="FFFFFF"/>
          <w:lang w:bidi="ar"/>
        </w:rPr>
        <w:t>《广东省人民政府办公厅转发省人力资源社会保障厅关于进一步完善我省被征地农民养老保障工作意见的通知》（粤府办〔2021〕22号）</w:t>
      </w:r>
      <w:r>
        <w:rPr>
          <w:rFonts w:hint="eastAsia" w:ascii="Times New Roman" w:hAnsi="Times New Roman" w:eastAsia="仿宋_GB2312" w:cs="Times New Roman"/>
          <w:kern w:val="0"/>
          <w:sz w:val="32"/>
          <w:szCs w:val="32"/>
          <w:shd w:val="clear" w:color="auto" w:fill="FFFFFF"/>
          <w:lang w:bidi="ar"/>
        </w:rPr>
        <w:t>和《广州市人民政府办公厅转发关于进一步完善我省被征地农民养老保障政策意见的通知》</w:t>
      </w:r>
      <w:r>
        <w:rPr>
          <w:rFonts w:ascii="Times New Roman" w:hAnsi="Times New Roman" w:eastAsia="仿宋_GB2312" w:cs="Times New Roman"/>
          <w:kern w:val="0"/>
          <w:sz w:val="32"/>
          <w:szCs w:val="32"/>
          <w:shd w:val="clear" w:color="auto" w:fill="FFFFFF"/>
          <w:lang w:bidi="ar"/>
        </w:rPr>
        <w:t>（</w:t>
      </w:r>
      <w:r>
        <w:rPr>
          <w:rFonts w:hint="eastAsia" w:ascii="Times New Roman" w:hAnsi="Times New Roman" w:eastAsia="仿宋_GB2312" w:cs="Times New Roman"/>
          <w:kern w:val="0"/>
          <w:sz w:val="32"/>
          <w:szCs w:val="32"/>
          <w:shd w:val="clear" w:color="auto" w:fill="FFFFFF"/>
          <w:lang w:bidi="ar"/>
        </w:rPr>
        <w:t>穗</w:t>
      </w:r>
      <w:r>
        <w:rPr>
          <w:rFonts w:ascii="Times New Roman" w:hAnsi="Times New Roman" w:eastAsia="仿宋_GB2312" w:cs="Times New Roman"/>
          <w:kern w:val="0"/>
          <w:sz w:val="32"/>
          <w:szCs w:val="32"/>
          <w:shd w:val="clear" w:color="auto" w:fill="FFFFFF"/>
          <w:lang w:bidi="ar"/>
        </w:rPr>
        <w:t>府办</w:t>
      </w:r>
      <w:r>
        <w:rPr>
          <w:rFonts w:hint="eastAsia" w:ascii="Times New Roman" w:hAnsi="Times New Roman" w:eastAsia="仿宋_GB2312" w:cs="Times New Roman"/>
          <w:kern w:val="0"/>
          <w:sz w:val="32"/>
          <w:szCs w:val="32"/>
          <w:shd w:val="clear" w:color="auto" w:fill="FFFFFF"/>
          <w:lang w:bidi="ar"/>
        </w:rPr>
        <w:t>规</w:t>
      </w:r>
      <w:r>
        <w:rPr>
          <w:rFonts w:ascii="Times New Roman" w:hAnsi="Times New Roman" w:eastAsia="仿宋_GB2312" w:cs="Times New Roman"/>
          <w:kern w:val="0"/>
          <w:sz w:val="32"/>
          <w:szCs w:val="32"/>
          <w:shd w:val="clear" w:color="auto" w:fill="FFFFFF"/>
          <w:lang w:bidi="ar"/>
        </w:rPr>
        <w:t>〔202</w:t>
      </w:r>
      <w:r>
        <w:rPr>
          <w:rFonts w:hint="eastAsia" w:ascii="Times New Roman" w:hAnsi="Times New Roman" w:eastAsia="仿宋_GB2312" w:cs="Times New Roman"/>
          <w:kern w:val="0"/>
          <w:sz w:val="32"/>
          <w:szCs w:val="32"/>
          <w:shd w:val="clear" w:color="auto" w:fill="FFFFFF"/>
          <w:lang w:bidi="ar"/>
        </w:rPr>
        <w:t>2</w:t>
      </w:r>
      <w:r>
        <w:rPr>
          <w:rFonts w:ascii="Times New Roman" w:hAnsi="Times New Roman" w:eastAsia="仿宋_GB2312" w:cs="Times New Roman"/>
          <w:kern w:val="0"/>
          <w:sz w:val="32"/>
          <w:szCs w:val="32"/>
          <w:shd w:val="clear" w:color="auto" w:fill="FFFFFF"/>
          <w:lang w:bidi="ar"/>
        </w:rPr>
        <w:t>〕</w:t>
      </w:r>
      <w:r>
        <w:rPr>
          <w:rFonts w:hint="eastAsia" w:ascii="Times New Roman" w:hAnsi="Times New Roman" w:eastAsia="仿宋_GB2312" w:cs="Times New Roman"/>
          <w:kern w:val="0"/>
          <w:sz w:val="32"/>
          <w:szCs w:val="32"/>
          <w:shd w:val="clear" w:color="auto" w:fill="FFFFFF"/>
          <w:lang w:bidi="ar"/>
        </w:rPr>
        <w:t>3</w:t>
      </w:r>
      <w:r>
        <w:rPr>
          <w:rFonts w:ascii="Times New Roman" w:hAnsi="Times New Roman" w:eastAsia="仿宋_GB2312" w:cs="Times New Roman"/>
          <w:kern w:val="0"/>
          <w:sz w:val="32"/>
          <w:szCs w:val="32"/>
          <w:shd w:val="clear" w:color="auto" w:fill="FFFFFF"/>
          <w:lang w:bidi="ar"/>
        </w:rPr>
        <w:t>号）等有关规定</w:t>
      </w:r>
      <w:r>
        <w:rPr>
          <w:rFonts w:ascii="Times New Roman" w:hAnsi="Times New Roman" w:eastAsia="仿宋_GB2312" w:cs="Times New Roman"/>
          <w:kern w:val="0"/>
          <w:sz w:val="32"/>
          <w:szCs w:val="32"/>
        </w:rPr>
        <w:t>，拟定</w:t>
      </w:r>
      <w:r>
        <w:rPr>
          <w:rFonts w:ascii="Times New Roman" w:hAnsi="Times New Roman" w:eastAsia="仿宋_GB2312" w:cs="Times New Roman"/>
          <w:sz w:val="32"/>
          <w:szCs w:val="32"/>
        </w:rPr>
        <w:t>广州市黄埔区（中新广州知识城）</w:t>
      </w:r>
      <w:r>
        <w:rPr>
          <w:rFonts w:hint="eastAsia" w:ascii="Times New Roman" w:hAnsi="Times New Roman" w:eastAsia="仿宋_GB2312" w:cs="Times New Roman"/>
          <w:sz w:val="32"/>
          <w:szCs w:val="32"/>
          <w:lang w:eastAsia="zh-CN"/>
        </w:rPr>
        <w:t>2023年度第二十九批次</w:t>
      </w:r>
      <w:r>
        <w:rPr>
          <w:rFonts w:ascii="Times New Roman" w:hAnsi="Times New Roman" w:eastAsia="仿宋_GB2312" w:cs="Times New Roman"/>
          <w:sz w:val="32"/>
          <w:szCs w:val="32"/>
        </w:rPr>
        <w:t>城镇建设用地</w:t>
      </w:r>
      <w:r>
        <w:rPr>
          <w:rFonts w:hint="eastAsia"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31.3860亩</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被征地农民养老</w:t>
      </w:r>
      <w:r>
        <w:rPr>
          <w:rFonts w:ascii="Times New Roman" w:hAnsi="Times New Roman" w:eastAsia="仿宋_GB2312" w:cs="Times New Roman"/>
          <w:kern w:val="0"/>
          <w:sz w:val="32"/>
          <w:szCs w:val="32"/>
        </w:rPr>
        <w:t>保障</w:t>
      </w:r>
      <w:r>
        <w:rPr>
          <w:rFonts w:ascii="Times New Roman" w:hAnsi="Times New Roman" w:eastAsia="仿宋_GB2312" w:cs="Times New Roman"/>
          <w:sz w:val="32"/>
          <w:szCs w:val="32"/>
        </w:rPr>
        <w:t>方案</w:t>
      </w:r>
      <w:r>
        <w:rPr>
          <w:rFonts w:ascii="Times New Roman" w:hAnsi="Times New Roman" w:eastAsia="仿宋_GB2312" w:cs="Times New Roman"/>
          <w:kern w:val="0"/>
          <w:sz w:val="32"/>
          <w:szCs w:val="32"/>
        </w:rPr>
        <w:t>如下：</w:t>
      </w:r>
    </w:p>
    <w:p>
      <w:pPr>
        <w:ind w:firstLine="640" w:firstLineChars="200"/>
        <w:jc w:val="left"/>
        <w:rPr>
          <w:rFonts w:ascii="Times New Roman" w:hAnsi="Times New Roman" w:eastAsia="仿宋_GB2312" w:cs="Times New Roman"/>
          <w:kern w:val="0"/>
          <w:sz w:val="32"/>
          <w:szCs w:val="32"/>
        </w:rPr>
      </w:pPr>
      <w:r>
        <w:rPr>
          <w:rFonts w:ascii="Times New Roman" w:hAnsi="Times New Roman" w:eastAsia="黑体" w:cs="Times New Roman"/>
          <w:kern w:val="0"/>
          <w:sz w:val="32"/>
          <w:szCs w:val="32"/>
        </w:rPr>
        <w:t>一、对</w:t>
      </w:r>
      <w:r>
        <w:rPr>
          <w:rFonts w:ascii="Times New Roman" w:hAnsi="Times New Roman" w:eastAsia="黑体" w:cs="Times New Roman"/>
          <w:sz w:val="32"/>
          <w:szCs w:val="32"/>
        </w:rPr>
        <w:t>广州市黄埔区（中新广州知识城）</w:t>
      </w:r>
      <w:r>
        <w:rPr>
          <w:rFonts w:hint="eastAsia" w:ascii="Times New Roman" w:hAnsi="Times New Roman" w:eastAsia="黑体" w:cs="Times New Roman"/>
          <w:sz w:val="32"/>
          <w:szCs w:val="32"/>
          <w:lang w:eastAsia="zh-CN"/>
        </w:rPr>
        <w:t>2023年度第二十九批次</w:t>
      </w:r>
      <w:r>
        <w:rPr>
          <w:rFonts w:ascii="Times New Roman" w:hAnsi="Times New Roman" w:eastAsia="黑体" w:cs="Times New Roman"/>
          <w:sz w:val="32"/>
          <w:szCs w:val="32"/>
        </w:rPr>
        <w:t>城镇建设</w:t>
      </w:r>
      <w:r>
        <w:rPr>
          <w:rFonts w:ascii="Times New Roman" w:hAnsi="Times New Roman" w:eastAsia="黑体" w:cs="Times New Roman"/>
          <w:kern w:val="0"/>
          <w:sz w:val="32"/>
          <w:szCs w:val="32"/>
        </w:rPr>
        <w:t>用地</w:t>
      </w:r>
      <w:r>
        <w:rPr>
          <w:rFonts w:hint="eastAsia" w:ascii="Times New Roman" w:hAnsi="Times New Roman" w:eastAsia="黑体" w:cs="Times New Roman"/>
          <w:kern w:val="0"/>
          <w:sz w:val="32"/>
          <w:szCs w:val="32"/>
        </w:rPr>
        <w:t>（</w:t>
      </w:r>
      <w:r>
        <w:rPr>
          <w:rFonts w:hint="eastAsia" w:ascii="Times New Roman" w:hAnsi="Times New Roman" w:eastAsia="黑体" w:cs="Times New Roman"/>
          <w:kern w:val="0"/>
          <w:sz w:val="32"/>
          <w:szCs w:val="32"/>
          <w:lang w:eastAsia="zh-CN"/>
        </w:rPr>
        <w:t>31.3860亩</w:t>
      </w:r>
      <w:r>
        <w:rPr>
          <w:rFonts w:hint="eastAsia" w:ascii="Times New Roman" w:hAnsi="Times New Roman" w:eastAsia="黑体" w:cs="Times New Roman"/>
          <w:kern w:val="0"/>
          <w:sz w:val="32"/>
          <w:szCs w:val="32"/>
        </w:rPr>
        <w:t>）</w:t>
      </w:r>
      <w:r>
        <w:rPr>
          <w:rFonts w:ascii="Times New Roman" w:hAnsi="Times New Roman" w:eastAsia="黑体" w:cs="Times New Roman"/>
          <w:kern w:val="0"/>
          <w:sz w:val="32"/>
          <w:szCs w:val="32"/>
        </w:rPr>
        <w:t>涉及的被征地农民实施社会养老保障。</w:t>
      </w:r>
    </w:p>
    <w:p>
      <w:pPr>
        <w:ind w:firstLine="640" w:firstLineChars="200"/>
        <w:rPr>
          <w:rFonts w:ascii="Times New Roman" w:hAnsi="Times New Roman" w:eastAsia="仿宋_GB2312" w:cs="Times New Roman"/>
          <w:sz w:val="32"/>
          <w:szCs w:val="32"/>
        </w:rPr>
      </w:pPr>
      <w:r>
        <w:rPr>
          <w:rFonts w:ascii="Times New Roman" w:hAnsi="Times New Roman" w:eastAsia="黑体" w:cs="Times New Roman"/>
          <w:kern w:val="0"/>
          <w:sz w:val="32"/>
          <w:szCs w:val="32"/>
        </w:rPr>
        <w:t>二、</w:t>
      </w:r>
      <w:r>
        <w:rPr>
          <w:rFonts w:hint="eastAsia" w:ascii="黑体" w:hAnsi="黑体" w:eastAsia="黑体" w:cs="Times New Roman"/>
          <w:bCs/>
          <w:kern w:val="0"/>
          <w:sz w:val="32"/>
          <w:szCs w:val="32"/>
          <w:shd w:val="clear" w:color="auto" w:fill="FFFFFF"/>
        </w:rPr>
        <w:t>征地社保费筹集</w:t>
      </w:r>
      <w:r>
        <w:rPr>
          <w:rFonts w:ascii="Times New Roman" w:hAnsi="Times New Roman" w:eastAsia="黑体" w:cs="Times New Roman"/>
          <w:kern w:val="0"/>
          <w:sz w:val="32"/>
          <w:szCs w:val="32"/>
        </w:rPr>
        <w:t>。</w:t>
      </w:r>
      <w:r>
        <w:rPr>
          <w:rFonts w:hint="eastAsia" w:ascii="Times New Roman" w:hAnsi="Times New Roman" w:eastAsia="仿宋_GB2312" w:cs="Times New Roman"/>
          <w:sz w:val="32"/>
          <w:szCs w:val="32"/>
        </w:rPr>
        <w:t>依据广州市规划和自然资源局黄埔区分局</w:t>
      </w:r>
      <w:r>
        <w:rPr>
          <w:rFonts w:hint="eastAsia" w:ascii="Times New Roman" w:hAnsi="Times New Roman" w:eastAsia="仿宋_GB2312" w:cs="Times New Roman"/>
          <w:color w:val="000000"/>
          <w:kern w:val="0"/>
          <w:sz w:val="32"/>
          <w:szCs w:val="32"/>
          <w:shd w:val="clear" w:color="auto" w:fill="FFFFFF"/>
          <w:lang w:bidi="ar"/>
        </w:rPr>
        <w:t>提供情况，该项目征收我区</w:t>
      </w:r>
      <w:r>
        <w:rPr>
          <w:rFonts w:hint="eastAsia" w:ascii="Times New Roman" w:hAnsi="Times New Roman" w:eastAsia="仿宋_GB2312" w:cs="Times New Roman"/>
          <w:sz w:val="32"/>
          <w:szCs w:val="32"/>
          <w:lang w:bidi="ar"/>
        </w:rPr>
        <w:t>九佛街红卫村亨美庄经济合作社、红卫村</w:t>
      </w:r>
      <w:r>
        <w:rPr>
          <w:rFonts w:hint="eastAsia" w:ascii="Times New Roman" w:hAnsi="Times New Roman" w:eastAsia="仿宋_GB2312" w:cs="Times New Roman"/>
          <w:sz w:val="32"/>
          <w:szCs w:val="32"/>
          <w:lang w:val="en-US" w:eastAsia="zh-CN" w:bidi="ar"/>
        </w:rPr>
        <w:t>亨美村</w:t>
      </w:r>
      <w:r>
        <w:rPr>
          <w:rFonts w:hint="eastAsia" w:ascii="Times New Roman" w:hAnsi="Times New Roman" w:eastAsia="仿宋_GB2312" w:cs="Times New Roman"/>
          <w:sz w:val="32"/>
          <w:szCs w:val="32"/>
          <w:lang w:bidi="ar"/>
        </w:rPr>
        <w:t>经济合作社</w:t>
      </w:r>
      <w:r>
        <w:rPr>
          <w:rFonts w:hint="eastAsia" w:ascii="Times New Roman" w:hAnsi="Times New Roman" w:eastAsia="仿宋_GB2312" w:cs="Times New Roman"/>
          <w:kern w:val="0"/>
          <w:sz w:val="32"/>
          <w:szCs w:val="32"/>
          <w:shd w:val="clear" w:color="auto" w:fill="FFFFFF"/>
          <w:lang w:bidi="ar"/>
        </w:rPr>
        <w:t>集体土地</w:t>
      </w:r>
      <w:r>
        <w:rPr>
          <w:rFonts w:hint="eastAsia" w:ascii="Times New Roman" w:hAnsi="Times New Roman" w:eastAsia="仿宋_GB2312" w:cs="Times New Roman"/>
          <w:color w:val="000000"/>
          <w:kern w:val="0"/>
          <w:sz w:val="32"/>
          <w:szCs w:val="32"/>
          <w:shd w:val="clear" w:color="auto" w:fill="FFFFFF"/>
          <w:lang w:bidi="ar"/>
        </w:rPr>
        <w:t>面积共</w:t>
      </w:r>
      <w:r>
        <w:rPr>
          <w:rFonts w:hint="eastAsia" w:ascii="Times New Roman" w:hAnsi="Times New Roman" w:eastAsia="仿宋_GB2312" w:cs="Times New Roman"/>
          <w:color w:val="000000"/>
          <w:kern w:val="0"/>
          <w:sz w:val="32"/>
          <w:szCs w:val="32"/>
          <w:shd w:val="clear" w:color="auto" w:fill="FFFFFF"/>
          <w:lang w:eastAsia="zh-CN" w:bidi="ar"/>
        </w:rPr>
        <w:t>31.3860亩</w:t>
      </w:r>
      <w:r>
        <w:rPr>
          <w:rFonts w:hint="eastAsia" w:ascii="Times New Roman" w:hAnsi="Times New Roman" w:eastAsia="仿宋_GB2312" w:cs="Times New Roman"/>
          <w:color w:val="000000"/>
          <w:kern w:val="0"/>
          <w:sz w:val="32"/>
          <w:szCs w:val="32"/>
          <w:shd w:val="clear" w:color="auto" w:fill="FFFFFF"/>
          <w:lang w:bidi="ar"/>
        </w:rPr>
        <w:t>（其中</w:t>
      </w:r>
      <w:r>
        <w:rPr>
          <w:rFonts w:hint="eastAsia" w:eastAsia="仿宋_GB2312" w:cs="Times New Roman"/>
          <w:color w:val="000000"/>
          <w:sz w:val="32"/>
          <w:szCs w:val="32"/>
          <w:lang w:bidi="ar"/>
        </w:rPr>
        <w:t>被征地单位留用地</w:t>
      </w:r>
      <w:r>
        <w:rPr>
          <w:rFonts w:hint="eastAsia" w:ascii="Times New Roman" w:hAnsi="Times New Roman" w:eastAsia="仿宋_GB2312" w:cs="Times New Roman"/>
          <w:color w:val="000000"/>
          <w:sz w:val="32"/>
          <w:szCs w:val="32"/>
          <w:lang w:bidi="ar"/>
        </w:rPr>
        <w:t>0</w:t>
      </w:r>
      <w:r>
        <w:rPr>
          <w:rFonts w:ascii="Times New Roman" w:hAnsi="Times New Roman" w:eastAsia="仿宋_GB2312" w:cs="Times New Roman"/>
          <w:color w:val="000000"/>
          <w:sz w:val="32"/>
          <w:szCs w:val="32"/>
          <w:lang w:bidi="ar"/>
        </w:rPr>
        <w:t>亩</w:t>
      </w:r>
      <w:r>
        <w:rPr>
          <w:rFonts w:hint="eastAsia" w:ascii="Times New Roman" w:hAnsi="Times New Roman" w:eastAsia="仿宋_GB2312" w:cs="Times New Roman"/>
          <w:color w:val="000000"/>
          <w:kern w:val="0"/>
          <w:sz w:val="32"/>
          <w:szCs w:val="32"/>
          <w:shd w:val="clear" w:color="auto" w:fill="FFFFFF"/>
          <w:lang w:bidi="ar"/>
        </w:rPr>
        <w:t>），</w:t>
      </w:r>
      <w:r>
        <w:rPr>
          <w:rFonts w:ascii="Times New Roman" w:hAnsi="Times New Roman" w:eastAsia="仿宋_GB2312" w:cs="Times New Roman"/>
          <w:sz w:val="32"/>
          <w:szCs w:val="32"/>
        </w:rPr>
        <w:t>项目</w:t>
      </w:r>
      <w:r>
        <w:rPr>
          <w:rFonts w:hint="eastAsia" w:ascii="Times New Roman" w:hAnsi="Times New Roman" w:eastAsia="仿宋_GB2312" w:cs="Times New Roman"/>
          <w:sz w:val="32"/>
          <w:szCs w:val="32"/>
        </w:rPr>
        <w:t>涉及征收的土地于2021年8月1日后签订征地补偿安置协议</w:t>
      </w:r>
      <w:r>
        <w:rPr>
          <w:rFonts w:hint="eastAsia" w:ascii="Times New Roman" w:hAnsi="Times New Roman" w:eastAsia="仿宋_GB2312" w:cs="Times New Roman"/>
          <w:color w:val="000000"/>
          <w:kern w:val="0"/>
          <w:sz w:val="32"/>
          <w:szCs w:val="32"/>
          <w:shd w:val="clear" w:color="auto" w:fill="FFFFFF"/>
          <w:lang w:bidi="ar"/>
        </w:rPr>
        <w:t>。该项目征地社保费应按2.47万元/亩的标准计提（即征地补偿安置方案制定时，我区每亩平均征收农用地综合区片地价21.84万元/亩乘以对应广州市五级十档计提比例11%，因计算结果2.4024万元/亩低于该档最低计提标准2.47万元/亩，按最低计提标准执行），其中0亩属于农村集体经济组织留用地，按规定不计提征地社保费，需计提资金共</w:t>
      </w:r>
      <w:r>
        <w:rPr>
          <w:rFonts w:hint="eastAsia" w:ascii="Times New Roman" w:hAnsi="Times New Roman" w:eastAsia="仿宋_GB2312" w:cs="Times New Roman"/>
          <w:color w:val="000000"/>
          <w:kern w:val="0"/>
          <w:sz w:val="32"/>
          <w:szCs w:val="32"/>
          <w:shd w:val="clear" w:color="auto" w:fill="FFFFFF"/>
          <w:lang w:val="en-US" w:eastAsia="zh-CN" w:bidi="ar"/>
        </w:rPr>
        <w:t>77.53</w:t>
      </w:r>
      <w:r>
        <w:rPr>
          <w:rFonts w:hint="eastAsia" w:ascii="Times New Roman" w:hAnsi="Times New Roman" w:eastAsia="仿宋_GB2312" w:cs="Times New Roman"/>
          <w:color w:val="000000"/>
          <w:kern w:val="0"/>
          <w:sz w:val="32"/>
          <w:szCs w:val="32"/>
          <w:shd w:val="clear" w:color="auto" w:fill="FFFFFF"/>
          <w:lang w:bidi="ar"/>
        </w:rPr>
        <w:t>万元由征地主体（用地单位）一次性预存入我区人力资源社会保障部门开设的“收缴被征地农民养老保障资金过渡户”，计入征地成本，纳入工程项目概算。</w:t>
      </w:r>
    </w:p>
    <w:p>
      <w:pPr>
        <w:ind w:firstLine="640" w:firstLineChars="200"/>
        <w:rPr>
          <w:rFonts w:ascii="仿宋_GB2312" w:hAnsi="仿宋_GB2312" w:eastAsia="仿宋_GB2312" w:cs="仿宋_GB2312"/>
          <w:kern w:val="0"/>
          <w:sz w:val="32"/>
          <w:szCs w:val="32"/>
        </w:rPr>
      </w:pPr>
      <w:r>
        <w:rPr>
          <w:rFonts w:hint="eastAsia" w:ascii="黑体" w:hAnsi="黑体" w:eastAsia="黑体" w:cs="Times New Roman"/>
          <w:bCs/>
          <w:kern w:val="0"/>
          <w:sz w:val="32"/>
          <w:szCs w:val="32"/>
          <w:shd w:val="clear" w:color="auto" w:fill="FFFFFF"/>
        </w:rPr>
        <w:t>三、征地社保费补贴对象</w:t>
      </w:r>
      <w:r>
        <w:rPr>
          <w:rFonts w:ascii="Times New Roman" w:hAnsi="Times New Roman" w:eastAsia="黑体" w:cs="Times New Roman"/>
          <w:kern w:val="0"/>
          <w:sz w:val="32"/>
          <w:szCs w:val="32"/>
        </w:rPr>
        <w:t>。</w:t>
      </w:r>
      <w:r>
        <w:rPr>
          <w:rFonts w:hint="eastAsia" w:ascii="仿宋_GB2312" w:hAnsi="仿宋_GB2312" w:eastAsia="仿宋_GB2312" w:cs="仿宋_GB2312"/>
          <w:kern w:val="0"/>
          <w:sz w:val="32"/>
          <w:szCs w:val="32"/>
        </w:rPr>
        <w:t>按“筹集资金分配到户，户内平均分配到人”的基本原则确定征地社保补贴对象，享有农村集体土地承包权的农户，其家庭承包的土地被政府依法统一征收，征收安置补偿方案制定时属于农村集体经济组织成员且年满</w:t>
      </w:r>
      <w:r>
        <w:rPr>
          <w:rFonts w:ascii="Times New Roman" w:hAnsi="Times New Roman" w:eastAsia="仿宋_GB2312" w:cs="Times New Roman"/>
          <w:kern w:val="0"/>
          <w:sz w:val="32"/>
          <w:szCs w:val="32"/>
        </w:rPr>
        <w:t>16</w:t>
      </w:r>
      <w:r>
        <w:rPr>
          <w:rFonts w:hint="eastAsia" w:ascii="仿宋_GB2312" w:hAnsi="仿宋_GB2312" w:eastAsia="仿宋_GB2312" w:cs="仿宋_GB2312"/>
          <w:kern w:val="0"/>
          <w:sz w:val="32"/>
          <w:szCs w:val="32"/>
        </w:rPr>
        <w:t>周岁以上的家庭成员，纳入征地社保补贴对象范围，农村集体经济组织另有规定的（如实行土地股份制经济或者集体统一经营土地等情况），可从其规定。</w:t>
      </w:r>
    </w:p>
    <w:p>
      <w:pPr>
        <w:ind w:firstLine="640" w:firstLineChars="200"/>
        <w:jc w:val="left"/>
        <w:rPr>
          <w:rFonts w:ascii="仿宋_GB2312" w:hAnsi="仿宋_GB2312" w:eastAsia="仿宋_GB2312" w:cs="仿宋_GB2312"/>
          <w:kern w:val="0"/>
          <w:sz w:val="32"/>
          <w:szCs w:val="32"/>
        </w:rPr>
      </w:pPr>
    </w:p>
    <w:p>
      <w:pPr>
        <w:ind w:firstLine="640" w:firstLineChars="200"/>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附表：征地土地和养老保障情况一览表</w:t>
      </w:r>
    </w:p>
    <w:p>
      <w:pPr>
        <w:ind w:firstLine="640" w:firstLineChars="200"/>
        <w:jc w:val="left"/>
        <w:rPr>
          <w:rFonts w:ascii="仿宋_GB2312" w:hAnsi="仿宋_GB2312" w:eastAsia="仿宋_GB2312" w:cs="仿宋_GB2312"/>
          <w:kern w:val="0"/>
          <w:sz w:val="32"/>
          <w:szCs w:val="32"/>
        </w:rPr>
      </w:pPr>
    </w:p>
    <w:p>
      <w:pPr>
        <w:ind w:firstLine="640" w:firstLineChars="200"/>
        <w:jc w:val="left"/>
        <w:rPr>
          <w:rFonts w:ascii="仿宋_GB2312" w:hAnsi="仿宋_GB2312" w:eastAsia="仿宋_GB2312" w:cs="仿宋_GB2312"/>
          <w:kern w:val="0"/>
          <w:sz w:val="32"/>
          <w:szCs w:val="32"/>
        </w:rPr>
      </w:pPr>
    </w:p>
    <w:p>
      <w:pPr>
        <w:pStyle w:val="3"/>
      </w:pPr>
    </w:p>
    <w:p>
      <w:pPr>
        <w:jc w:val="left"/>
        <w:rPr>
          <w:rFonts w:ascii="黑体" w:hAnsi="黑体" w:eastAsia="黑体" w:cs="黑体"/>
          <w:kern w:val="0"/>
          <w:sz w:val="32"/>
          <w:szCs w:val="32"/>
        </w:rPr>
      </w:pPr>
    </w:p>
    <w:p>
      <w:pPr>
        <w:jc w:val="left"/>
        <w:rPr>
          <w:rFonts w:ascii="黑体" w:hAnsi="黑体" w:eastAsia="黑体" w:cs="黑体"/>
          <w:kern w:val="0"/>
          <w:sz w:val="32"/>
          <w:szCs w:val="32"/>
        </w:rPr>
      </w:pPr>
    </w:p>
    <w:p>
      <w:pPr>
        <w:jc w:val="left"/>
        <w:rPr>
          <w:rFonts w:ascii="黑体" w:hAnsi="黑体" w:eastAsia="黑体" w:cs="黑体"/>
          <w:kern w:val="0"/>
          <w:sz w:val="32"/>
          <w:szCs w:val="32"/>
        </w:rPr>
      </w:pPr>
    </w:p>
    <w:p>
      <w:pPr>
        <w:jc w:val="left"/>
        <w:rPr>
          <w:rFonts w:ascii="黑体" w:hAnsi="黑体" w:eastAsia="黑体" w:cs="黑体"/>
          <w:kern w:val="0"/>
          <w:sz w:val="32"/>
          <w:szCs w:val="32"/>
        </w:rPr>
      </w:pPr>
      <w:r>
        <w:rPr>
          <w:rFonts w:hint="eastAsia" w:ascii="黑体" w:hAnsi="黑体" w:eastAsia="黑体" w:cs="黑体"/>
          <w:kern w:val="0"/>
          <w:sz w:val="32"/>
          <w:szCs w:val="32"/>
        </w:rPr>
        <w:t>附表：</w:t>
      </w:r>
    </w:p>
    <w:p>
      <w:pPr>
        <w:jc w:val="center"/>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征</w:t>
      </w:r>
      <w:r>
        <w:rPr>
          <w:rFonts w:hint="eastAsia" w:ascii="Times New Roman" w:hAnsi="Times New Roman" w:eastAsia="方正小标宋简体" w:cs="Times New Roman"/>
          <w:sz w:val="44"/>
          <w:szCs w:val="44"/>
        </w:rPr>
        <w:t>地</w:t>
      </w:r>
      <w:r>
        <w:rPr>
          <w:rFonts w:ascii="Times New Roman" w:hAnsi="Times New Roman" w:eastAsia="方正小标宋简体" w:cs="Times New Roman"/>
          <w:sz w:val="44"/>
          <w:szCs w:val="44"/>
        </w:rPr>
        <w:t>土地</w:t>
      </w:r>
      <w:r>
        <w:rPr>
          <w:rFonts w:hint="eastAsia" w:ascii="Times New Roman" w:hAnsi="Times New Roman" w:eastAsia="方正小标宋简体" w:cs="Times New Roman"/>
          <w:sz w:val="44"/>
          <w:szCs w:val="44"/>
        </w:rPr>
        <w:t>和</w:t>
      </w:r>
      <w:r>
        <w:rPr>
          <w:rFonts w:ascii="Times New Roman" w:hAnsi="Times New Roman" w:eastAsia="方正小标宋简体" w:cs="Times New Roman"/>
          <w:sz w:val="44"/>
          <w:szCs w:val="44"/>
        </w:rPr>
        <w:t>养老保障情况</w:t>
      </w:r>
      <w:r>
        <w:rPr>
          <w:rFonts w:hint="eastAsia" w:ascii="Times New Roman" w:hAnsi="Times New Roman" w:eastAsia="方正小标宋简体" w:cs="Times New Roman"/>
          <w:sz w:val="44"/>
          <w:szCs w:val="44"/>
        </w:rPr>
        <w:t>一览</w:t>
      </w:r>
      <w:r>
        <w:rPr>
          <w:rFonts w:ascii="Times New Roman" w:hAnsi="Times New Roman" w:eastAsia="方正小标宋简体" w:cs="Times New Roman"/>
          <w:sz w:val="44"/>
          <w:szCs w:val="44"/>
        </w:rPr>
        <w:t>表</w:t>
      </w:r>
    </w:p>
    <w:p>
      <w:pPr>
        <w:ind w:firstLine="640" w:firstLineChars="200"/>
        <w:jc w:val="right"/>
        <w:rPr>
          <w:rFonts w:eastAsia="仿宋_GB2312"/>
          <w:sz w:val="32"/>
          <w:szCs w:val="32"/>
        </w:rPr>
      </w:pPr>
      <w:r>
        <w:rPr>
          <w:rFonts w:hint="eastAsia" w:eastAsia="仿宋_GB2312"/>
          <w:sz w:val="32"/>
          <w:szCs w:val="32"/>
        </w:rPr>
        <w:t>单位：亩、万元</w:t>
      </w:r>
    </w:p>
    <w:tbl>
      <w:tblPr>
        <w:tblStyle w:val="4"/>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944"/>
        <w:gridCol w:w="2983"/>
        <w:gridCol w:w="1400"/>
        <w:gridCol w:w="1440"/>
        <w:gridCol w:w="17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7" w:hRule="atLeast"/>
          <w:jc w:val="center"/>
        </w:trPr>
        <w:tc>
          <w:tcPr>
            <w:tcW w:w="3927" w:type="dxa"/>
            <w:gridSpan w:val="2"/>
            <w:shd w:val="clear" w:color="auto" w:fill="FFFFFF"/>
            <w:vAlign w:val="center"/>
          </w:tcPr>
          <w:p>
            <w:pPr>
              <w:spacing w:line="320" w:lineRule="exact"/>
              <w:jc w:val="center"/>
              <w:rPr>
                <w:rFonts w:ascii="Times New Roman" w:hAnsi="Times New Roman" w:eastAsia="仿宋_GB2312" w:cs="Times New Roman"/>
                <w:sz w:val="24"/>
              </w:rPr>
            </w:pPr>
            <w:r>
              <w:rPr>
                <w:rFonts w:ascii="Times New Roman" w:hAnsi="Times New Roman" w:eastAsia="仿宋_GB2312" w:cs="Times New Roman"/>
                <w:sz w:val="24"/>
              </w:rPr>
              <w:t>被征地单位</w:t>
            </w:r>
          </w:p>
        </w:tc>
        <w:tc>
          <w:tcPr>
            <w:tcW w:w="1400" w:type="dxa"/>
            <w:vMerge w:val="restart"/>
            <w:shd w:val="clear" w:color="auto" w:fill="FFFFFF"/>
            <w:vAlign w:val="center"/>
          </w:tcPr>
          <w:p>
            <w:pPr>
              <w:widowControl/>
              <w:jc w:val="center"/>
              <w:textAlignment w:val="center"/>
              <w:rPr>
                <w:rFonts w:ascii="Times New Roman" w:hAnsi="Times New Roman" w:cs="Times New Roman"/>
                <w:sz w:val="22"/>
              </w:rPr>
            </w:pPr>
            <w:r>
              <w:rPr>
                <w:rFonts w:hint="eastAsia" w:ascii="Times New Roman" w:hAnsi="Times New Roman" w:eastAsia="仿宋_GB2312" w:cs="Times New Roman"/>
                <w:sz w:val="24"/>
              </w:rPr>
              <w:t>征收集体土地面积（亩）</w:t>
            </w:r>
          </w:p>
        </w:tc>
        <w:tc>
          <w:tcPr>
            <w:tcW w:w="1440" w:type="dxa"/>
            <w:vMerge w:val="restart"/>
            <w:shd w:val="clear" w:color="auto" w:fill="FFFFFF"/>
            <w:vAlign w:val="center"/>
          </w:tcPr>
          <w:p>
            <w:pPr>
              <w:widowControl/>
              <w:jc w:val="center"/>
              <w:textAlignment w:val="center"/>
              <w:rPr>
                <w:rFonts w:ascii="Times New Roman" w:hAnsi="Times New Roman" w:cs="Times New Roman"/>
                <w:sz w:val="22"/>
              </w:rPr>
            </w:pPr>
            <w:r>
              <w:rPr>
                <w:rFonts w:hint="eastAsia" w:ascii="Times New Roman" w:hAnsi="Times New Roman" w:eastAsia="仿宋_GB2312" w:cs="Times New Roman"/>
                <w:sz w:val="24"/>
              </w:rPr>
              <w:t>其中属于被征地单位留用地面积</w:t>
            </w:r>
          </w:p>
        </w:tc>
        <w:tc>
          <w:tcPr>
            <w:tcW w:w="1770" w:type="dxa"/>
            <w:vMerge w:val="restart"/>
            <w:shd w:val="clear" w:color="auto" w:fill="FFFFFF"/>
            <w:vAlign w:val="center"/>
          </w:tcPr>
          <w:p>
            <w:pPr>
              <w:spacing w:line="320" w:lineRule="exact"/>
              <w:jc w:val="center"/>
              <w:rPr>
                <w:rFonts w:ascii="Times New Roman" w:hAnsi="Times New Roman" w:eastAsia="仿宋_GB2312" w:cs="Times New Roman"/>
                <w:sz w:val="24"/>
              </w:rPr>
            </w:pPr>
            <w:r>
              <w:rPr>
                <w:rFonts w:ascii="Times New Roman" w:hAnsi="Times New Roman" w:eastAsia="仿宋_GB2312" w:cs="Times New Roman"/>
                <w:sz w:val="24"/>
              </w:rPr>
              <w:t>需计提</w:t>
            </w:r>
            <w:r>
              <w:rPr>
                <w:rFonts w:hint="eastAsia" w:ascii="Times New Roman" w:hAnsi="Times New Roman" w:eastAsia="仿宋_GB2312" w:cs="Times New Roman"/>
                <w:sz w:val="24"/>
              </w:rPr>
              <w:t>征地社保费（万元）</w:t>
            </w:r>
          </w:p>
          <w:p>
            <w:pPr>
              <w:widowControl/>
              <w:jc w:val="center"/>
              <w:textAlignment w:val="center"/>
              <w:rPr>
                <w:rFonts w:ascii="Times New Roman" w:hAnsi="Times New Roman"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31" w:hRule="atLeast"/>
          <w:jc w:val="center"/>
        </w:trPr>
        <w:tc>
          <w:tcPr>
            <w:tcW w:w="944" w:type="dxa"/>
            <w:shd w:val="clear" w:color="auto" w:fill="FFFFFF"/>
            <w:noWrap/>
            <w:vAlign w:val="center"/>
          </w:tcPr>
          <w:p>
            <w:pPr>
              <w:spacing w:line="360" w:lineRule="exact"/>
              <w:rPr>
                <w:rFonts w:ascii="Times New Roman" w:hAnsi="Times New Roman" w:eastAsia="仿宋_GB2312" w:cs="Times New Roman"/>
                <w:sz w:val="24"/>
              </w:rPr>
            </w:pPr>
            <w:r>
              <w:rPr>
                <w:rFonts w:hint="eastAsia" w:ascii="Times New Roman" w:hAnsi="Times New Roman" w:eastAsia="仿宋_GB2312" w:cs="Times New Roman"/>
                <w:sz w:val="24"/>
              </w:rPr>
              <w:t>镇/街</w:t>
            </w:r>
          </w:p>
        </w:tc>
        <w:tc>
          <w:tcPr>
            <w:tcW w:w="2983" w:type="dxa"/>
            <w:shd w:val="clear" w:color="auto" w:fill="FFFFFF"/>
            <w:vAlign w:val="center"/>
          </w:tcPr>
          <w:p>
            <w:pPr>
              <w:widowControl/>
              <w:jc w:val="center"/>
              <w:textAlignment w:val="center"/>
              <w:rPr>
                <w:rFonts w:ascii="Times New Roman" w:hAnsi="Times New Roman" w:eastAsia="仿宋_GB2312" w:cs="Times New Roman"/>
                <w:sz w:val="24"/>
                <w:szCs w:val="24"/>
              </w:rPr>
            </w:pPr>
            <w:r>
              <w:rPr>
                <w:rFonts w:hint="eastAsia" w:ascii="Times New Roman" w:hAnsi="Times New Roman" w:eastAsia="仿宋_GB2312" w:cs="Times New Roman"/>
                <w:color w:val="000000"/>
                <w:kern w:val="0"/>
                <w:sz w:val="24"/>
                <w:szCs w:val="24"/>
                <w:lang w:bidi="ar"/>
              </w:rPr>
              <w:t>经济合作社/经济联合社</w:t>
            </w:r>
          </w:p>
        </w:tc>
        <w:tc>
          <w:tcPr>
            <w:tcW w:w="1400" w:type="dxa"/>
            <w:vMerge w:val="continue"/>
            <w:shd w:val="clear" w:color="auto" w:fill="FFFFFF"/>
            <w:vAlign w:val="center"/>
          </w:tcPr>
          <w:p>
            <w:pPr>
              <w:widowControl/>
              <w:jc w:val="center"/>
              <w:textAlignment w:val="center"/>
              <w:rPr>
                <w:rFonts w:ascii="Times New Roman" w:hAnsi="Times New Roman" w:cs="Times New Roman"/>
                <w:sz w:val="22"/>
              </w:rPr>
            </w:pPr>
          </w:p>
        </w:tc>
        <w:tc>
          <w:tcPr>
            <w:tcW w:w="1440" w:type="dxa"/>
            <w:vMerge w:val="continue"/>
            <w:shd w:val="clear" w:color="auto" w:fill="FFFFFF"/>
            <w:vAlign w:val="center"/>
          </w:tcPr>
          <w:p>
            <w:pPr>
              <w:widowControl/>
              <w:jc w:val="center"/>
              <w:textAlignment w:val="center"/>
              <w:rPr>
                <w:rFonts w:ascii="Times New Roman" w:hAnsi="Times New Roman" w:cs="Times New Roman"/>
                <w:sz w:val="22"/>
              </w:rPr>
            </w:pPr>
          </w:p>
        </w:tc>
        <w:tc>
          <w:tcPr>
            <w:tcW w:w="1770" w:type="dxa"/>
            <w:vMerge w:val="continue"/>
            <w:shd w:val="clear" w:color="auto" w:fill="FFFFFF"/>
            <w:noWrap/>
            <w:vAlign w:val="center"/>
          </w:tcPr>
          <w:p>
            <w:pPr>
              <w:widowControl/>
              <w:jc w:val="center"/>
              <w:textAlignment w:val="center"/>
              <w:rPr>
                <w:rFonts w:ascii="Times New Roman" w:hAnsi="Times New Roman"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64" w:hRule="atLeast"/>
          <w:jc w:val="center"/>
        </w:trPr>
        <w:tc>
          <w:tcPr>
            <w:tcW w:w="944" w:type="dxa"/>
            <w:vMerge w:val="restart"/>
            <w:shd w:val="clear" w:color="auto" w:fill="FFFFFF"/>
            <w:noWrap/>
            <w:vAlign w:val="center"/>
          </w:tcPr>
          <w:p>
            <w:pPr>
              <w:spacing w:line="360" w:lineRule="exact"/>
              <w:jc w:val="center"/>
              <w:rPr>
                <w:rFonts w:hint="eastAsia" w:ascii="Times New Roman" w:hAnsi="Times New Roman" w:eastAsia="仿宋_GB2312" w:cs="Times New Roman"/>
                <w:sz w:val="24"/>
              </w:rPr>
            </w:pPr>
            <w:r>
              <w:rPr>
                <w:rFonts w:hint="eastAsia" w:ascii="Times New Roman" w:hAnsi="Times New Roman" w:eastAsia="仿宋_GB2312" w:cs="Times New Roman"/>
                <w:sz w:val="24"/>
              </w:rPr>
              <w:t>九</w:t>
            </w:r>
          </w:p>
          <w:p>
            <w:pPr>
              <w:spacing w:line="360" w:lineRule="exact"/>
              <w:jc w:val="center"/>
              <w:rPr>
                <w:rFonts w:hint="eastAsia" w:ascii="Times New Roman" w:hAnsi="Times New Roman" w:eastAsia="仿宋_GB2312" w:cs="Times New Roman"/>
                <w:sz w:val="24"/>
              </w:rPr>
            </w:pPr>
            <w:r>
              <w:rPr>
                <w:rFonts w:hint="eastAsia" w:ascii="Times New Roman" w:hAnsi="Times New Roman" w:eastAsia="仿宋_GB2312" w:cs="Times New Roman"/>
                <w:sz w:val="24"/>
              </w:rPr>
              <w:t>佛</w:t>
            </w:r>
          </w:p>
          <w:p>
            <w:pPr>
              <w:spacing w:line="360" w:lineRule="exact"/>
              <w:jc w:val="center"/>
              <w:rPr>
                <w:rFonts w:ascii="Times New Roman" w:hAnsi="Times New Roman" w:eastAsia="仿宋_GB2312" w:cs="Times New Roman"/>
                <w:sz w:val="24"/>
              </w:rPr>
            </w:pPr>
            <w:r>
              <w:rPr>
                <w:rFonts w:hint="eastAsia" w:ascii="Times New Roman" w:hAnsi="Times New Roman" w:eastAsia="仿宋_GB2312" w:cs="Times New Roman"/>
                <w:sz w:val="24"/>
              </w:rPr>
              <w:t>街</w:t>
            </w:r>
          </w:p>
        </w:tc>
        <w:tc>
          <w:tcPr>
            <w:tcW w:w="2983" w:type="dxa"/>
            <w:shd w:val="clear" w:color="auto" w:fill="FFFFFF"/>
            <w:vAlign w:val="center"/>
          </w:tcPr>
          <w:p>
            <w:pPr>
              <w:widowControl/>
              <w:spacing w:line="280" w:lineRule="exact"/>
              <w:jc w:val="center"/>
              <w:textAlignment w:val="center"/>
              <w:rPr>
                <w:rFonts w:ascii="Times New Roman" w:hAnsi="Times New Roman" w:eastAsia="仿宋_GB2312" w:cs="Times New Roman"/>
                <w:sz w:val="22"/>
              </w:rPr>
            </w:pPr>
            <w:r>
              <w:rPr>
                <w:rFonts w:hint="eastAsia" w:ascii="仿宋_GB2312" w:hAnsi="仿宋_GB2312" w:eastAsia="仿宋_GB2312" w:cs="仿宋_GB2312"/>
                <w:color w:val="000000"/>
                <w:kern w:val="0"/>
                <w:sz w:val="22"/>
                <w:szCs w:val="22"/>
                <w:lang w:val="en-US" w:eastAsia="zh-CN" w:bidi="ar"/>
              </w:rPr>
              <w:t>红卫村亨美庄经济合作社</w:t>
            </w:r>
          </w:p>
        </w:tc>
        <w:tc>
          <w:tcPr>
            <w:tcW w:w="1400" w:type="dxa"/>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 xml:space="preserve">23.6385 </w:t>
            </w:r>
          </w:p>
        </w:tc>
        <w:tc>
          <w:tcPr>
            <w:tcW w:w="1440" w:type="dxa"/>
            <w:shd w:val="clear" w:color="auto" w:fill="FFFFFF"/>
            <w:vAlign w:val="center"/>
          </w:tcPr>
          <w:p>
            <w:pPr>
              <w:keepNext w:val="0"/>
              <w:keepLines w:val="0"/>
              <w:widowControl/>
              <w:suppressLineNumbers w:val="0"/>
              <w:jc w:val="center"/>
              <w:textAlignment w:val="center"/>
              <w:rPr>
                <w:rFonts w:ascii="Times New Roman" w:hAnsi="Times New Roman" w:cs="Times New Roman"/>
                <w:sz w:val="22"/>
              </w:rPr>
            </w:pPr>
            <w:r>
              <w:rPr>
                <w:rFonts w:hint="eastAsia" w:ascii="Times New Roman" w:hAnsi="Times New Roman" w:eastAsia="宋体" w:cs="Times New Roman"/>
                <w:i w:val="0"/>
                <w:iCs w:val="0"/>
                <w:color w:val="auto"/>
                <w:kern w:val="0"/>
                <w:sz w:val="22"/>
                <w:szCs w:val="22"/>
                <w:u w:val="none"/>
                <w:lang w:val="en-US" w:eastAsia="zh-CN" w:bidi="ar"/>
              </w:rPr>
              <w:t xml:space="preserve">0.0000 </w:t>
            </w:r>
          </w:p>
        </w:tc>
        <w:tc>
          <w:tcPr>
            <w:tcW w:w="1770" w:type="dxa"/>
            <w:shd w:val="clear" w:color="auto" w:fill="FFFFFF"/>
            <w:noWrap/>
            <w:vAlign w:val="center"/>
          </w:tcPr>
          <w:p>
            <w:pPr>
              <w:widowControl/>
              <w:jc w:val="center"/>
              <w:textAlignment w:val="center"/>
              <w:rPr>
                <w:rFonts w:hint="default" w:ascii="Times New Roman" w:hAnsi="Times New Roman" w:cs="Times New Roman" w:eastAsiaTheme="minorEastAsia"/>
                <w:sz w:val="22"/>
                <w:lang w:val="en-US" w:eastAsia="zh-CN"/>
              </w:rPr>
            </w:pPr>
            <w:r>
              <w:rPr>
                <w:rFonts w:hint="eastAsia" w:ascii="Times New Roman" w:hAnsi="Times New Roman" w:cs="Times New Roman"/>
                <w:sz w:val="22"/>
                <w:lang w:val="en-US" w:eastAsia="zh-CN"/>
              </w:rPr>
              <w:t>58.39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64" w:hRule="atLeast"/>
          <w:jc w:val="center"/>
        </w:trPr>
        <w:tc>
          <w:tcPr>
            <w:tcW w:w="944" w:type="dxa"/>
            <w:vMerge w:val="continue"/>
            <w:shd w:val="clear" w:color="auto" w:fill="FFFFFF"/>
            <w:noWrap/>
            <w:vAlign w:val="center"/>
          </w:tcPr>
          <w:p>
            <w:pPr>
              <w:spacing w:line="360" w:lineRule="exact"/>
              <w:jc w:val="center"/>
              <w:rPr>
                <w:rFonts w:hint="eastAsia" w:ascii="Times New Roman" w:hAnsi="Times New Roman" w:eastAsia="仿宋_GB2312" w:cs="Times New Roman"/>
                <w:sz w:val="24"/>
              </w:rPr>
            </w:pPr>
          </w:p>
        </w:tc>
        <w:tc>
          <w:tcPr>
            <w:tcW w:w="2983" w:type="dxa"/>
            <w:shd w:val="clear" w:color="auto" w:fill="FFFFFF"/>
            <w:vAlign w:val="center"/>
          </w:tcPr>
          <w:p>
            <w:pPr>
              <w:widowControl/>
              <w:spacing w:line="280" w:lineRule="exact"/>
              <w:jc w:val="center"/>
              <w:textAlignment w:val="center"/>
              <w:rPr>
                <w:rFonts w:ascii="Times New Roman" w:hAnsi="Times New Roman" w:eastAsia="仿宋_GB2312" w:cs="Times New Roman"/>
                <w:sz w:val="22"/>
              </w:rPr>
            </w:pPr>
            <w:r>
              <w:rPr>
                <w:rFonts w:hint="eastAsia" w:ascii="仿宋_GB2312" w:hAnsi="仿宋_GB2312" w:eastAsia="仿宋_GB2312" w:cs="仿宋_GB2312"/>
                <w:color w:val="000000"/>
                <w:kern w:val="0"/>
                <w:sz w:val="22"/>
                <w:szCs w:val="22"/>
                <w:lang w:val="en-US" w:eastAsia="zh-CN" w:bidi="ar"/>
              </w:rPr>
              <w:t>红卫村亨美村经济合作社</w:t>
            </w:r>
          </w:p>
        </w:tc>
        <w:tc>
          <w:tcPr>
            <w:tcW w:w="1400" w:type="dxa"/>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Times New Roman" w:hAnsi="Times New Roman" w:eastAsia="宋体" w:cs="Times New Roman"/>
                <w:i w:val="0"/>
                <w:iCs w:val="0"/>
                <w:color w:val="auto"/>
                <w:kern w:val="0"/>
                <w:sz w:val="22"/>
                <w:szCs w:val="22"/>
                <w:u w:val="none"/>
                <w:lang w:val="en-US" w:eastAsia="zh-CN" w:bidi="ar"/>
              </w:rPr>
              <w:t xml:space="preserve">7.7475 </w:t>
            </w:r>
          </w:p>
        </w:tc>
        <w:tc>
          <w:tcPr>
            <w:tcW w:w="1440" w:type="dxa"/>
            <w:shd w:val="clear" w:color="auto" w:fill="FFFFFF"/>
            <w:vAlign w:val="center"/>
          </w:tcPr>
          <w:p>
            <w:pPr>
              <w:keepNext w:val="0"/>
              <w:keepLines w:val="0"/>
              <w:widowControl/>
              <w:suppressLineNumbers w:val="0"/>
              <w:jc w:val="center"/>
              <w:textAlignment w:val="center"/>
              <w:rPr>
                <w:rFonts w:hint="eastAsia" w:ascii="Times New Roman" w:hAnsi="Times New Roman" w:cs="Times New Roman"/>
                <w:sz w:val="22"/>
              </w:rPr>
            </w:pPr>
            <w:r>
              <w:rPr>
                <w:rFonts w:hint="eastAsia" w:ascii="Times New Roman" w:hAnsi="Times New Roman" w:eastAsia="宋体" w:cs="Times New Roman"/>
                <w:i w:val="0"/>
                <w:iCs w:val="0"/>
                <w:color w:val="auto"/>
                <w:kern w:val="0"/>
                <w:sz w:val="22"/>
                <w:szCs w:val="22"/>
                <w:u w:val="none"/>
                <w:lang w:val="en-US" w:eastAsia="zh-CN" w:bidi="ar"/>
              </w:rPr>
              <w:t xml:space="preserve">0.0000 </w:t>
            </w:r>
          </w:p>
        </w:tc>
        <w:tc>
          <w:tcPr>
            <w:tcW w:w="1770" w:type="dxa"/>
            <w:shd w:val="clear" w:color="auto" w:fill="FFFFFF"/>
            <w:noWrap/>
            <w:vAlign w:val="center"/>
          </w:tcPr>
          <w:p>
            <w:pPr>
              <w:widowControl/>
              <w:jc w:val="center"/>
              <w:textAlignment w:val="center"/>
              <w:rPr>
                <w:rFonts w:hint="default" w:ascii="Times New Roman" w:hAnsi="Times New Roman" w:cs="Times New Roman" w:eastAsiaTheme="minorEastAsia"/>
                <w:sz w:val="22"/>
                <w:lang w:val="en-US" w:eastAsia="zh-CN"/>
              </w:rPr>
            </w:pPr>
            <w:r>
              <w:rPr>
                <w:rFonts w:hint="eastAsia" w:ascii="Times New Roman" w:hAnsi="Times New Roman" w:cs="Times New Roman"/>
                <w:sz w:val="22"/>
                <w:lang w:val="en-US" w:eastAsia="zh-CN"/>
              </w:rPr>
              <w:t>19.14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13" w:hRule="atLeast"/>
          <w:jc w:val="center"/>
        </w:trPr>
        <w:tc>
          <w:tcPr>
            <w:tcW w:w="3927" w:type="dxa"/>
            <w:gridSpan w:val="2"/>
            <w:shd w:val="clear" w:color="auto" w:fill="FFFFFF"/>
            <w:noWrap/>
            <w:vAlign w:val="center"/>
          </w:tcPr>
          <w:p>
            <w:pPr>
              <w:spacing w:line="360" w:lineRule="exact"/>
              <w:jc w:val="center"/>
              <w:rPr>
                <w:rFonts w:ascii="Times New Roman" w:hAnsi="Times New Roman" w:eastAsia="仿宋_GB2312" w:cs="Times New Roman"/>
                <w:b/>
                <w:bCs/>
                <w:sz w:val="22"/>
              </w:rPr>
            </w:pPr>
            <w:r>
              <w:rPr>
                <w:rFonts w:ascii="Times New Roman" w:hAnsi="Times New Roman" w:eastAsia="仿宋_GB2312" w:cs="Times New Roman"/>
                <w:b w:val="0"/>
                <w:bCs w:val="0"/>
                <w:sz w:val="22"/>
              </w:rPr>
              <w:t>合计</w:t>
            </w:r>
          </w:p>
        </w:tc>
        <w:tc>
          <w:tcPr>
            <w:tcW w:w="1400" w:type="dxa"/>
            <w:shd w:val="clear" w:color="auto" w:fill="FFFFFF"/>
            <w:vAlign w:val="center"/>
          </w:tcPr>
          <w:p>
            <w:pPr>
              <w:keepNext w:val="0"/>
              <w:keepLines w:val="0"/>
              <w:widowControl/>
              <w:suppressLineNumbers w:val="0"/>
              <w:jc w:val="center"/>
              <w:textAlignment w:val="center"/>
              <w:rPr>
                <w:rFonts w:ascii="Times New Roman" w:hAnsi="Times New Roman" w:eastAsia="宋体" w:cs="Times New Roman"/>
                <w:b/>
                <w:bCs/>
                <w:color w:val="000000"/>
                <w:kern w:val="0"/>
                <w:sz w:val="22"/>
                <w:lang w:bidi="ar"/>
              </w:rPr>
            </w:pPr>
            <w:r>
              <w:rPr>
                <w:rFonts w:hint="eastAsia" w:ascii="Times New Roman" w:hAnsi="Times New Roman" w:eastAsia="宋体" w:cs="Times New Roman"/>
                <w:b/>
                <w:bCs/>
                <w:i w:val="0"/>
                <w:iCs w:val="0"/>
                <w:color w:val="auto"/>
                <w:kern w:val="0"/>
                <w:sz w:val="22"/>
                <w:szCs w:val="22"/>
                <w:u w:val="none"/>
                <w:lang w:val="en-US" w:eastAsia="zh-CN" w:bidi="ar"/>
              </w:rPr>
              <w:t>31.3860</w:t>
            </w:r>
          </w:p>
        </w:tc>
        <w:tc>
          <w:tcPr>
            <w:tcW w:w="1440" w:type="dxa"/>
            <w:shd w:val="clear" w:color="auto" w:fill="FFFFFF"/>
            <w:vAlign w:val="center"/>
          </w:tcPr>
          <w:p>
            <w:pPr>
              <w:keepNext w:val="0"/>
              <w:keepLines w:val="0"/>
              <w:widowControl/>
              <w:suppressLineNumbers w:val="0"/>
              <w:jc w:val="center"/>
              <w:textAlignment w:val="center"/>
              <w:rPr>
                <w:rFonts w:ascii="Times New Roman" w:hAnsi="Times New Roman" w:eastAsia="宋体" w:cs="Times New Roman"/>
                <w:b/>
                <w:bCs/>
                <w:color w:val="000000"/>
                <w:kern w:val="0"/>
                <w:sz w:val="22"/>
                <w:lang w:bidi="ar"/>
              </w:rPr>
            </w:pPr>
            <w:r>
              <w:rPr>
                <w:rFonts w:hint="eastAsia" w:ascii="Times New Roman" w:hAnsi="Times New Roman" w:eastAsia="宋体" w:cs="Times New Roman"/>
                <w:b/>
                <w:bCs/>
                <w:i w:val="0"/>
                <w:iCs w:val="0"/>
                <w:color w:val="auto"/>
                <w:kern w:val="0"/>
                <w:sz w:val="22"/>
                <w:szCs w:val="22"/>
                <w:u w:val="none"/>
                <w:lang w:val="en-US" w:eastAsia="zh-CN" w:bidi="ar"/>
              </w:rPr>
              <w:t xml:space="preserve">0.0000 </w:t>
            </w:r>
          </w:p>
        </w:tc>
        <w:tc>
          <w:tcPr>
            <w:tcW w:w="1770" w:type="dxa"/>
            <w:shd w:val="clear" w:color="auto" w:fill="FFFFFF"/>
            <w:noWrap/>
            <w:vAlign w:val="center"/>
          </w:tcPr>
          <w:p>
            <w:pPr>
              <w:spacing w:line="360" w:lineRule="exact"/>
              <w:jc w:val="center"/>
              <w:rPr>
                <w:rFonts w:hint="default" w:ascii="Times New Roman" w:hAnsi="Times New Roman" w:eastAsia="仿宋_GB2312" w:cs="Times New Roman"/>
                <w:b/>
                <w:bCs/>
                <w:sz w:val="22"/>
                <w:lang w:val="en-US" w:eastAsia="zh-CN"/>
              </w:rPr>
            </w:pPr>
            <w:r>
              <w:rPr>
                <w:rFonts w:hint="eastAsia" w:ascii="Times New Roman" w:hAnsi="Times New Roman" w:eastAsia="仿宋_GB2312" w:cs="Times New Roman"/>
                <w:b/>
                <w:bCs/>
                <w:sz w:val="22"/>
                <w:lang w:val="en-US" w:eastAsia="zh-CN"/>
              </w:rPr>
              <w:t>77.53</w:t>
            </w:r>
          </w:p>
        </w:tc>
      </w:tr>
    </w:tbl>
    <w:p>
      <w:pPr>
        <w:ind w:firstLine="640" w:firstLineChars="200"/>
        <w:jc w:val="left"/>
        <w:rPr>
          <w:rFonts w:ascii="仿宋_GB2312" w:hAnsi="仿宋_GB2312" w:eastAsia="仿宋_GB2312" w:cs="仿宋_GB2312"/>
          <w:kern w:val="0"/>
          <w:sz w:val="32"/>
          <w:szCs w:val="32"/>
        </w:rPr>
      </w:pPr>
    </w:p>
    <w:p>
      <w:pPr>
        <w:ind w:firstLine="480" w:firstLineChars="200"/>
        <w:jc w:val="lef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说明：</w:t>
      </w:r>
    </w:p>
    <w:p>
      <w:pPr>
        <w:numPr>
          <w:ilvl w:val="0"/>
          <w:numId w:val="1"/>
        </w:numPr>
        <w:ind w:firstLine="480" w:firstLineChars="200"/>
        <w:jc w:val="lef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征地社保费计提标准2.47万元/亩，征地社保费计算结果向上区整、精确到百元。</w:t>
      </w:r>
    </w:p>
    <w:p>
      <w:pPr>
        <w:numPr>
          <w:ilvl w:val="0"/>
          <w:numId w:val="1"/>
        </w:numPr>
        <w:ind w:firstLine="480" w:firstLineChars="200"/>
        <w:jc w:val="lef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被征收土地属于农村集体经济组织留用地的，不计提征地社保费。</w:t>
      </w:r>
    </w:p>
    <w:p>
      <w:pPr>
        <w:ind w:firstLine="640" w:firstLineChars="200"/>
        <w:jc w:val="left"/>
        <w:rPr>
          <w:rFonts w:ascii="仿宋_GB2312" w:hAnsi="仿宋_GB2312" w:eastAsia="仿宋_GB2312" w:cs="仿宋_GB2312"/>
          <w:kern w:val="0"/>
          <w:sz w:val="32"/>
          <w:szCs w:val="32"/>
        </w:rPr>
      </w:pPr>
    </w:p>
    <w:p>
      <w:pPr>
        <w:ind w:firstLine="640" w:firstLineChars="200"/>
        <w:jc w:val="right"/>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广州市黄埔区人力资源和社会保障局</w:t>
      </w:r>
    </w:p>
    <w:p>
      <w:pPr>
        <w:ind w:firstLine="640" w:firstLineChars="200"/>
        <w:jc w:val="center"/>
        <w:rPr>
          <w:rFonts w:ascii="仿宋_GB2312" w:hAnsi="仿宋_GB2312" w:eastAsia="仿宋_GB2312" w:cs="仿宋_GB2312"/>
          <w:kern w:val="0"/>
          <w:sz w:val="32"/>
          <w:szCs w:val="32"/>
        </w:rPr>
      </w:pPr>
      <w:r>
        <w:rPr>
          <w:rFonts w:hint="eastAsia" w:ascii="Times New Roman" w:hAnsi="Times New Roman" w:eastAsia="仿宋_GB2312" w:cs="Times New Roman"/>
          <w:sz w:val="32"/>
          <w:szCs w:val="32"/>
        </w:rPr>
        <w:t xml:space="preserve">                    </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rPr>
        <w:t>3</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lang w:val="en-US" w:eastAsia="zh-CN"/>
        </w:rPr>
        <w:t>11</w:t>
      </w:r>
      <w:r>
        <w:rPr>
          <w:rFonts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16</w:t>
      </w:r>
      <w:r>
        <w:rPr>
          <w:rFonts w:ascii="Times New Roman" w:hAnsi="Times New Roman" w:eastAsia="仿宋_GB2312" w:cs="Times New Roman"/>
          <w:sz w:val="32"/>
          <w:szCs w:val="32"/>
        </w:rPr>
        <w:t>日</w:t>
      </w:r>
      <w:bookmarkStart w:id="0" w:name="_GoBack"/>
      <w:bookmarkEnd w:id="0"/>
    </w:p>
    <w:p/>
    <w:sectPr>
      <w:pgSz w:w="11906" w:h="16838"/>
      <w:pgMar w:top="1417" w:right="1474"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ȭхڢ; line-height:23px;">
    <w:altName w:val="宋体"/>
    <w:panose1 w:val="00000000000000000000"/>
    <w:charset w:val="86"/>
    <w:family w:val="roma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C6CE27"/>
    <w:multiLevelType w:val="singleLevel"/>
    <w:tmpl w:val="1FC6CE2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U5NDc5MjJjMmYxYTg0ZDc1OWNiNDVhMDQxZTE5YmYifQ=="/>
  </w:docVars>
  <w:rsids>
    <w:rsidRoot w:val="0B4B15E0"/>
    <w:rsid w:val="00102E53"/>
    <w:rsid w:val="00300E43"/>
    <w:rsid w:val="00C4504B"/>
    <w:rsid w:val="039D339B"/>
    <w:rsid w:val="077346EA"/>
    <w:rsid w:val="0B4B15E0"/>
    <w:rsid w:val="0E502A76"/>
    <w:rsid w:val="0F0558D3"/>
    <w:rsid w:val="0F22011B"/>
    <w:rsid w:val="12ED5A93"/>
    <w:rsid w:val="14D56B30"/>
    <w:rsid w:val="14E65080"/>
    <w:rsid w:val="15B10430"/>
    <w:rsid w:val="15E30DAF"/>
    <w:rsid w:val="17DF06DD"/>
    <w:rsid w:val="181D1914"/>
    <w:rsid w:val="1B7350EA"/>
    <w:rsid w:val="23A520BE"/>
    <w:rsid w:val="24B628A3"/>
    <w:rsid w:val="25AC35FF"/>
    <w:rsid w:val="25FF0D7F"/>
    <w:rsid w:val="29ED39D7"/>
    <w:rsid w:val="2B373C5F"/>
    <w:rsid w:val="2B790F8A"/>
    <w:rsid w:val="2BE24FE0"/>
    <w:rsid w:val="2BEE5883"/>
    <w:rsid w:val="2DB808B0"/>
    <w:rsid w:val="2FE431A1"/>
    <w:rsid w:val="309A4696"/>
    <w:rsid w:val="3211693C"/>
    <w:rsid w:val="32634CBB"/>
    <w:rsid w:val="330D4FE6"/>
    <w:rsid w:val="36A96E09"/>
    <w:rsid w:val="396D6658"/>
    <w:rsid w:val="3B9203BD"/>
    <w:rsid w:val="3D374216"/>
    <w:rsid w:val="3FD92D5A"/>
    <w:rsid w:val="415F50D0"/>
    <w:rsid w:val="44187C0C"/>
    <w:rsid w:val="445C50A4"/>
    <w:rsid w:val="450A60B3"/>
    <w:rsid w:val="470D3DEB"/>
    <w:rsid w:val="481948A6"/>
    <w:rsid w:val="4B0E7060"/>
    <w:rsid w:val="4CC86C1A"/>
    <w:rsid w:val="4F7207DC"/>
    <w:rsid w:val="501F6D25"/>
    <w:rsid w:val="54523840"/>
    <w:rsid w:val="55171365"/>
    <w:rsid w:val="57D46CB4"/>
    <w:rsid w:val="57FB16DF"/>
    <w:rsid w:val="58C73B00"/>
    <w:rsid w:val="5C7B66D8"/>
    <w:rsid w:val="5D13628E"/>
    <w:rsid w:val="612733FB"/>
    <w:rsid w:val="62C11A44"/>
    <w:rsid w:val="6401622D"/>
    <w:rsid w:val="65B93C67"/>
    <w:rsid w:val="669A4FC6"/>
    <w:rsid w:val="67BC7440"/>
    <w:rsid w:val="6AB22900"/>
    <w:rsid w:val="6D7E6AD2"/>
    <w:rsid w:val="6E19241B"/>
    <w:rsid w:val="6E9C3399"/>
    <w:rsid w:val="6F073BDA"/>
    <w:rsid w:val="6F102882"/>
    <w:rsid w:val="72024232"/>
    <w:rsid w:val="73893637"/>
    <w:rsid w:val="740D14E0"/>
    <w:rsid w:val="741661E7"/>
    <w:rsid w:val="76C11EED"/>
    <w:rsid w:val="78186E91"/>
    <w:rsid w:val="7ADF3369"/>
    <w:rsid w:val="7B597A93"/>
    <w:rsid w:val="7BB10514"/>
    <w:rsid w:val="7C4469A0"/>
    <w:rsid w:val="7F1933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qFormat/>
    <w:uiPriority w:val="0"/>
    <w:pPr>
      <w:keepNext/>
      <w:keepLines/>
      <w:widowControl w:val="0"/>
      <w:spacing w:before="260" w:beforeLines="0" w:beforeAutospacing="0" w:after="260" w:afterLines="0" w:afterAutospacing="0" w:line="413" w:lineRule="auto"/>
      <w:jc w:val="both"/>
      <w:outlineLvl w:val="1"/>
    </w:pPr>
    <w:rPr>
      <w:rFonts w:ascii="Arial" w:hAnsi="Arial" w:eastAsia="黑体" w:cs="Times New Roman"/>
      <w:b/>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customStyle="1" w:styleId="6">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412</Words>
  <Characters>2355</Characters>
  <Lines>19</Lines>
  <Paragraphs>5</Paragraphs>
  <TotalTime>5</TotalTime>
  <ScaleCrop>false</ScaleCrop>
  <LinksUpToDate>false</LinksUpToDate>
  <CharactersWithSpaces>2762</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2023-08-04T07:45:00Z</dcterms:created>
  <dc:creator>回忆か~捉不到</dc:creator>
  <cp:lastModifiedBy>剑锋</cp:lastModifiedBy>
  <cp:lastPrinted>2022-09-01T06:19:00Z</cp:lastPrinted>
  <dcterms:modified xsi:type="dcterms:W3CDTF">2023-12-18T10:15:40Z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EF6BA42C19E94A4E843C818313989462</vt:lpwstr>
  </property>
</Properties>
</file>